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76" w:rsidRDefault="00DD5D76" w:rsidP="009E2C64">
      <w:pPr>
        <w:ind w:left="3972" w:firstLine="708"/>
        <w:rPr>
          <w:sz w:val="24"/>
        </w:rPr>
      </w:pPr>
      <w:r>
        <w:rPr>
          <w:sz w:val="24"/>
        </w:rPr>
        <w:t xml:space="preserve"> Додаток 5</w:t>
      </w:r>
    </w:p>
    <w:p w:rsidR="00DD5D76" w:rsidRDefault="00DD5D76" w:rsidP="009E2C64">
      <w:pPr>
        <w:ind w:left="3972" w:firstLine="708"/>
        <w:rPr>
          <w:sz w:val="24"/>
        </w:rPr>
      </w:pPr>
    </w:p>
    <w:p w:rsidR="00DD5D76" w:rsidRDefault="00DD5D76" w:rsidP="00A3350A">
      <w:pPr>
        <w:ind w:left="4680"/>
        <w:rPr>
          <w:sz w:val="24"/>
        </w:rPr>
      </w:pPr>
      <w:r>
        <w:rPr>
          <w:sz w:val="24"/>
        </w:rPr>
        <w:t xml:space="preserve"> ЗАТВЕРДЖЕНО</w:t>
      </w:r>
    </w:p>
    <w:p w:rsidR="00DD5D76" w:rsidRDefault="00DD5D76" w:rsidP="00A3350A">
      <w:pPr>
        <w:ind w:left="4680"/>
        <w:rPr>
          <w:sz w:val="24"/>
        </w:rPr>
      </w:pPr>
      <w:r w:rsidRPr="005D7330">
        <w:rPr>
          <w:sz w:val="24"/>
        </w:rPr>
        <w:t xml:space="preserve"> наказ</w:t>
      </w:r>
      <w:r>
        <w:rPr>
          <w:sz w:val="24"/>
        </w:rPr>
        <w:t>ом</w:t>
      </w:r>
      <w:r w:rsidRPr="005D7330">
        <w:rPr>
          <w:sz w:val="24"/>
        </w:rPr>
        <w:t xml:space="preserve"> </w:t>
      </w:r>
      <w:r>
        <w:rPr>
          <w:sz w:val="24"/>
        </w:rPr>
        <w:t xml:space="preserve">керівника Черкаської обласної </w:t>
      </w:r>
    </w:p>
    <w:p w:rsidR="00DD5D76" w:rsidRPr="005D7330" w:rsidRDefault="00DD5D76" w:rsidP="00A3350A">
      <w:pPr>
        <w:ind w:left="4680"/>
        <w:rPr>
          <w:sz w:val="24"/>
        </w:rPr>
      </w:pPr>
      <w:r>
        <w:rPr>
          <w:sz w:val="24"/>
        </w:rPr>
        <w:t xml:space="preserve"> прокуратури </w:t>
      </w:r>
    </w:p>
    <w:p w:rsidR="00DD5D76" w:rsidRPr="00DA09B7" w:rsidRDefault="00DD5D76" w:rsidP="00A3350A">
      <w:pPr>
        <w:ind w:left="4680"/>
        <w:rPr>
          <w:b/>
          <w:sz w:val="12"/>
          <w:szCs w:val="12"/>
        </w:rPr>
      </w:pPr>
      <w:r>
        <w:rPr>
          <w:sz w:val="24"/>
        </w:rPr>
        <w:t xml:space="preserve"> від 02 жовтня 2020 року № 531 к</w:t>
      </w:r>
    </w:p>
    <w:p w:rsidR="00DD5D76" w:rsidRDefault="00DD5D76" w:rsidP="00A3350A">
      <w:pPr>
        <w:jc w:val="center"/>
        <w:rPr>
          <w:b/>
          <w:sz w:val="24"/>
        </w:rPr>
      </w:pPr>
    </w:p>
    <w:p w:rsidR="00DD5D76" w:rsidRDefault="00DD5D76" w:rsidP="00A3350A">
      <w:pPr>
        <w:jc w:val="center"/>
        <w:rPr>
          <w:b/>
          <w:sz w:val="24"/>
        </w:rPr>
      </w:pPr>
    </w:p>
    <w:p w:rsidR="00DD5D76" w:rsidRDefault="00DD5D76" w:rsidP="00A3350A">
      <w:pPr>
        <w:jc w:val="center"/>
        <w:rPr>
          <w:b/>
          <w:sz w:val="24"/>
          <w:lang w:val="ru-RU"/>
        </w:rPr>
      </w:pPr>
      <w:r>
        <w:rPr>
          <w:b/>
          <w:sz w:val="24"/>
          <w:lang w:val="ru-RU"/>
        </w:rPr>
        <w:t xml:space="preserve">ОГОЛОШЕННЯ </w:t>
      </w:r>
    </w:p>
    <w:p w:rsidR="00DD5D76" w:rsidRDefault="00DD5D76" w:rsidP="00A3350A">
      <w:pPr>
        <w:jc w:val="center"/>
        <w:rPr>
          <w:b/>
          <w:sz w:val="24"/>
        </w:rPr>
      </w:pPr>
      <w:r>
        <w:rPr>
          <w:b/>
          <w:sz w:val="24"/>
        </w:rPr>
        <w:t>п</w:t>
      </w:r>
      <w:r w:rsidRPr="003F1187">
        <w:rPr>
          <w:b/>
          <w:sz w:val="24"/>
        </w:rPr>
        <w:t xml:space="preserve">ро добір </w:t>
      </w:r>
      <w:r>
        <w:rPr>
          <w:b/>
          <w:sz w:val="24"/>
        </w:rPr>
        <w:t xml:space="preserve">на період карантину </w:t>
      </w:r>
    </w:p>
    <w:p w:rsidR="00DD5D76" w:rsidRPr="00673359" w:rsidRDefault="00DD5D76" w:rsidP="00A3350A">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2625"/>
        <w:gridCol w:w="30"/>
        <w:gridCol w:w="6559"/>
      </w:tblGrid>
      <w:tr w:rsidR="00DD5D76" w:rsidTr="009E2C64">
        <w:trPr>
          <w:trHeight w:val="690"/>
        </w:trPr>
        <w:tc>
          <w:tcPr>
            <w:tcW w:w="3300" w:type="dxa"/>
            <w:gridSpan w:val="2"/>
          </w:tcPr>
          <w:p w:rsidR="00DD5D76" w:rsidRDefault="00DD5D76" w:rsidP="009E2C64">
            <w:pPr>
              <w:jc w:val="left"/>
              <w:rPr>
                <w:b/>
                <w:sz w:val="24"/>
                <w:szCs w:val="24"/>
              </w:rPr>
            </w:pPr>
            <w:r w:rsidRPr="006F2197">
              <w:rPr>
                <w:sz w:val="24"/>
                <w:szCs w:val="24"/>
                <w:lang w:eastAsia="uk-UA"/>
              </w:rPr>
              <w:t>Назва та категорія посади, стосовно якої прийнято рішення про необхідність призначення</w:t>
            </w:r>
          </w:p>
        </w:tc>
        <w:tc>
          <w:tcPr>
            <w:tcW w:w="6589" w:type="dxa"/>
            <w:gridSpan w:val="2"/>
          </w:tcPr>
          <w:p w:rsidR="00DD5D76" w:rsidRPr="009E2C64" w:rsidRDefault="00DD5D76" w:rsidP="00F56B6D">
            <w:pPr>
              <w:jc w:val="left"/>
              <w:rPr>
                <w:sz w:val="24"/>
                <w:szCs w:val="24"/>
                <w:lang w:eastAsia="uk-UA"/>
              </w:rPr>
            </w:pPr>
            <w:r>
              <w:rPr>
                <w:sz w:val="24"/>
                <w:szCs w:val="24"/>
                <w:lang w:eastAsia="uk-UA"/>
              </w:rPr>
              <w:t>головний спеціаліст відділу міжнародно-правового співробітництва Черкаської обласної прокуратури          (категорія «В»)</w:t>
            </w:r>
            <w:r w:rsidRPr="009E2C64">
              <w:rPr>
                <w:sz w:val="24"/>
                <w:szCs w:val="24"/>
                <w:lang w:eastAsia="uk-UA"/>
              </w:rPr>
              <w:t xml:space="preserve"> </w:t>
            </w:r>
          </w:p>
        </w:tc>
      </w:tr>
      <w:tr w:rsidR="00DD5D76" w:rsidRPr="00FB1754" w:rsidTr="009E2C64">
        <w:tblPrEx>
          <w:tblLook w:val="00A0"/>
        </w:tblPrEx>
        <w:tc>
          <w:tcPr>
            <w:tcW w:w="9889" w:type="dxa"/>
            <w:gridSpan w:val="4"/>
            <w:vAlign w:val="center"/>
          </w:tcPr>
          <w:p w:rsidR="00DD5D76" w:rsidRPr="00FB1754" w:rsidRDefault="00DD5D76" w:rsidP="00B05A70">
            <w:pPr>
              <w:jc w:val="center"/>
              <w:rPr>
                <w:b/>
                <w:sz w:val="24"/>
              </w:rPr>
            </w:pPr>
            <w:r w:rsidRPr="00FB1754">
              <w:rPr>
                <w:b/>
                <w:sz w:val="24"/>
              </w:rPr>
              <w:t>Загальні умови</w:t>
            </w:r>
          </w:p>
          <w:p w:rsidR="00DD5D76" w:rsidRPr="00FB1754" w:rsidRDefault="00DD5D76" w:rsidP="00B05A70">
            <w:pPr>
              <w:jc w:val="center"/>
              <w:rPr>
                <w:b/>
                <w:sz w:val="12"/>
                <w:szCs w:val="12"/>
              </w:rPr>
            </w:pPr>
          </w:p>
        </w:tc>
      </w:tr>
      <w:tr w:rsidR="00DD5D76" w:rsidRPr="00FB1754" w:rsidTr="009E2C64">
        <w:tblPrEx>
          <w:tblLook w:val="00A0"/>
        </w:tblPrEx>
        <w:trPr>
          <w:trHeight w:val="956"/>
        </w:trPr>
        <w:tc>
          <w:tcPr>
            <w:tcW w:w="3330" w:type="dxa"/>
            <w:gridSpan w:val="3"/>
          </w:tcPr>
          <w:p w:rsidR="00DD5D76" w:rsidRPr="00E93DCC" w:rsidRDefault="00DD5D76" w:rsidP="00B05A70">
            <w:pPr>
              <w:rPr>
                <w:sz w:val="24"/>
                <w:szCs w:val="24"/>
              </w:rPr>
            </w:pPr>
            <w:r w:rsidRPr="00E93DCC">
              <w:rPr>
                <w:sz w:val="24"/>
                <w:szCs w:val="24"/>
              </w:rPr>
              <w:t>Посадові обов’язки</w:t>
            </w:r>
          </w:p>
        </w:tc>
        <w:tc>
          <w:tcPr>
            <w:tcW w:w="6559" w:type="dxa"/>
          </w:tcPr>
          <w:p w:rsidR="00DD5D76" w:rsidRPr="006D502F" w:rsidRDefault="00DD5D76" w:rsidP="0073410D">
            <w:pPr>
              <w:pStyle w:val="30"/>
              <w:shd w:val="clear" w:color="auto" w:fill="auto"/>
              <w:tabs>
                <w:tab w:val="left" w:pos="-426"/>
              </w:tabs>
              <w:spacing w:after="120" w:line="240" w:lineRule="auto"/>
              <w:rPr>
                <w:rFonts w:ascii="Times New Roman" w:hAnsi="Times New Roman"/>
                <w:b w:val="0"/>
                <w:bCs/>
                <w:i w:val="0"/>
                <w:iCs/>
                <w:sz w:val="24"/>
                <w:szCs w:val="24"/>
                <w:lang w:eastAsia="en-US"/>
              </w:rPr>
            </w:pPr>
            <w:r w:rsidRPr="006D502F">
              <w:rPr>
                <w:rFonts w:ascii="Times New Roman" w:hAnsi="Times New Roman"/>
                <w:b w:val="0"/>
                <w:bCs/>
                <w:i w:val="0"/>
                <w:iCs/>
                <w:color w:val="000000"/>
                <w:sz w:val="24"/>
                <w:szCs w:val="24"/>
                <w:lang w:eastAsia="en-US"/>
              </w:rPr>
              <w:t>- в</w:t>
            </w:r>
            <w:r w:rsidRPr="006D502F">
              <w:rPr>
                <w:rFonts w:ascii="Times New Roman" w:hAnsi="Times New Roman"/>
                <w:b w:val="0"/>
                <w:i w:val="0"/>
                <w:sz w:val="24"/>
                <w:szCs w:val="24"/>
                <w:lang w:eastAsia="ru-RU"/>
              </w:rPr>
              <w:t>едення відповідних обліків проведеної відділом роботи, накопичення і систематизація матеріалів, інформації, статистичних даних, необхідних для виконання покладених завдань</w:t>
            </w:r>
            <w:r w:rsidRPr="006D502F">
              <w:rPr>
                <w:rFonts w:ascii="Times New Roman" w:hAnsi="Times New Roman"/>
                <w:b w:val="0"/>
                <w:bCs/>
                <w:i w:val="0"/>
                <w:iCs/>
                <w:sz w:val="24"/>
                <w:szCs w:val="24"/>
                <w:lang w:eastAsia="en-US"/>
              </w:rPr>
              <w:t>;</w:t>
            </w:r>
          </w:p>
          <w:p w:rsidR="00DD5D76" w:rsidRPr="006D502F" w:rsidRDefault="00DD5D76" w:rsidP="0073410D">
            <w:pPr>
              <w:pStyle w:val="30"/>
              <w:shd w:val="clear" w:color="auto" w:fill="auto"/>
              <w:tabs>
                <w:tab w:val="left" w:pos="-426"/>
              </w:tabs>
              <w:spacing w:after="120" w:line="240" w:lineRule="auto"/>
              <w:rPr>
                <w:rFonts w:ascii="Times New Roman" w:hAnsi="Times New Roman"/>
                <w:b w:val="0"/>
                <w:bCs/>
                <w:i w:val="0"/>
                <w:iCs/>
                <w:sz w:val="24"/>
                <w:szCs w:val="24"/>
                <w:lang w:eastAsia="en-US"/>
              </w:rPr>
            </w:pPr>
            <w:r w:rsidRPr="006D502F">
              <w:rPr>
                <w:rFonts w:ascii="Times New Roman" w:hAnsi="Times New Roman"/>
                <w:b w:val="0"/>
                <w:bCs/>
                <w:i w:val="0"/>
                <w:iCs/>
                <w:sz w:val="24"/>
                <w:szCs w:val="24"/>
                <w:lang w:eastAsia="en-US"/>
              </w:rPr>
              <w:t xml:space="preserve">- </w:t>
            </w:r>
            <w:r w:rsidRPr="006D502F">
              <w:rPr>
                <w:rFonts w:ascii="Times New Roman" w:hAnsi="Times New Roman"/>
                <w:b w:val="0"/>
                <w:i w:val="0"/>
                <w:sz w:val="24"/>
                <w:szCs w:val="24"/>
                <w:lang w:eastAsia="ru-RU"/>
              </w:rPr>
              <w:t>опрацювання отриманих відділом запитів правоохоронних та судових органів області про міжнародну правову допомогу при проведенні процесуальних дій, видачі (екстрадиції) осіб на наявність у них додатків, перекладу запитів та додатків до них на мову держави, до якої скеровується запит, підписів посадових осіб та скріплення документів гербовими печатками відповідних органів</w:t>
            </w:r>
            <w:r w:rsidRPr="006D502F">
              <w:rPr>
                <w:rFonts w:ascii="Times New Roman" w:hAnsi="Times New Roman"/>
                <w:b w:val="0"/>
                <w:bCs/>
                <w:i w:val="0"/>
                <w:iCs/>
                <w:sz w:val="24"/>
                <w:szCs w:val="24"/>
                <w:lang w:eastAsia="en-US"/>
              </w:rPr>
              <w:t>;</w:t>
            </w:r>
          </w:p>
          <w:p w:rsidR="00DD5D76" w:rsidRPr="006D502F" w:rsidRDefault="00DD5D76" w:rsidP="0073410D">
            <w:pPr>
              <w:pStyle w:val="30"/>
              <w:shd w:val="clear" w:color="auto" w:fill="auto"/>
              <w:tabs>
                <w:tab w:val="left" w:pos="-426"/>
              </w:tabs>
              <w:spacing w:after="120" w:line="240" w:lineRule="auto"/>
              <w:rPr>
                <w:rFonts w:ascii="Times New Roman" w:hAnsi="Times New Roman"/>
                <w:b w:val="0"/>
                <w:bCs/>
                <w:i w:val="0"/>
                <w:iCs/>
                <w:sz w:val="24"/>
                <w:szCs w:val="24"/>
                <w:lang w:eastAsia="en-US"/>
              </w:rPr>
            </w:pPr>
            <w:r w:rsidRPr="006D502F">
              <w:rPr>
                <w:rFonts w:ascii="Times New Roman" w:hAnsi="Times New Roman"/>
                <w:b w:val="0"/>
                <w:bCs/>
                <w:i w:val="0"/>
                <w:iCs/>
                <w:sz w:val="24"/>
                <w:szCs w:val="24"/>
                <w:lang w:eastAsia="en-US"/>
              </w:rPr>
              <w:t>- в</w:t>
            </w:r>
            <w:r w:rsidRPr="006D502F">
              <w:rPr>
                <w:rFonts w:ascii="Times New Roman" w:hAnsi="Times New Roman"/>
                <w:b w:val="0"/>
                <w:i w:val="0"/>
                <w:sz w:val="24"/>
                <w:szCs w:val="24"/>
                <w:lang w:eastAsia="ru-RU"/>
              </w:rPr>
              <w:t>ивчення матеріалів виконаних доручень за запитами компетентних органів іноземних держав щодо повноти їх виконання та належне оформлення, підготовка проектів довідок за результатами перевірки.</w:t>
            </w:r>
            <w:r w:rsidRPr="006D502F">
              <w:rPr>
                <w:rFonts w:ascii="Times New Roman" w:hAnsi="Times New Roman"/>
                <w:b w:val="0"/>
                <w:bCs/>
                <w:i w:val="0"/>
                <w:iCs/>
                <w:sz w:val="24"/>
                <w:szCs w:val="24"/>
                <w:lang w:eastAsia="en-US"/>
              </w:rPr>
              <w:t>;</w:t>
            </w:r>
          </w:p>
          <w:p w:rsidR="00DD5D76" w:rsidRPr="006D502F" w:rsidRDefault="00DD5D76" w:rsidP="0073410D">
            <w:pPr>
              <w:pStyle w:val="30"/>
              <w:shd w:val="clear" w:color="auto" w:fill="auto"/>
              <w:tabs>
                <w:tab w:val="left" w:pos="-426"/>
              </w:tabs>
              <w:spacing w:after="120" w:line="240" w:lineRule="auto"/>
              <w:rPr>
                <w:rFonts w:ascii="Times New Roman" w:hAnsi="Times New Roman"/>
                <w:b w:val="0"/>
                <w:bCs/>
                <w:i w:val="0"/>
                <w:iCs/>
                <w:sz w:val="24"/>
                <w:szCs w:val="24"/>
                <w:lang w:eastAsia="en-US"/>
              </w:rPr>
            </w:pPr>
            <w:r w:rsidRPr="006D502F">
              <w:rPr>
                <w:rFonts w:ascii="Times New Roman" w:hAnsi="Times New Roman"/>
                <w:b w:val="0"/>
                <w:bCs/>
                <w:i w:val="0"/>
                <w:iCs/>
                <w:sz w:val="24"/>
                <w:szCs w:val="24"/>
                <w:lang w:eastAsia="en-US"/>
              </w:rPr>
              <w:t>- п</w:t>
            </w:r>
            <w:r w:rsidRPr="006D502F">
              <w:rPr>
                <w:rFonts w:ascii="Times New Roman" w:hAnsi="Times New Roman"/>
                <w:b w:val="0"/>
                <w:i w:val="0"/>
                <w:sz w:val="24"/>
                <w:szCs w:val="24"/>
                <w:lang w:eastAsia="ru-RU"/>
              </w:rPr>
              <w:t>ідготовка проектів документів щодо продовження строків виконання запитів про правову допомогу компетентних органів іноземних держав, що отримані в порядку безпосередніх зносин, відповідно до ч. 2 ст. 558 КПК України</w:t>
            </w:r>
            <w:r w:rsidRPr="006D502F">
              <w:rPr>
                <w:rFonts w:ascii="Times New Roman" w:hAnsi="Times New Roman"/>
                <w:b w:val="0"/>
                <w:bCs/>
                <w:i w:val="0"/>
                <w:iCs/>
                <w:sz w:val="24"/>
                <w:szCs w:val="24"/>
                <w:lang w:eastAsia="en-US"/>
              </w:rPr>
              <w:t>;</w:t>
            </w:r>
          </w:p>
          <w:p w:rsidR="00DD5D76" w:rsidRPr="006D502F" w:rsidRDefault="00DD5D76" w:rsidP="0073410D">
            <w:pPr>
              <w:pStyle w:val="30"/>
              <w:shd w:val="clear" w:color="auto" w:fill="auto"/>
              <w:tabs>
                <w:tab w:val="left" w:pos="-426"/>
              </w:tabs>
              <w:spacing w:after="120" w:line="240" w:lineRule="auto"/>
              <w:rPr>
                <w:rFonts w:ascii="Times New Roman" w:hAnsi="Times New Roman"/>
                <w:b w:val="0"/>
                <w:bCs/>
                <w:i w:val="0"/>
                <w:iCs/>
                <w:sz w:val="24"/>
                <w:szCs w:val="24"/>
                <w:lang w:eastAsia="en-US"/>
              </w:rPr>
            </w:pPr>
            <w:r w:rsidRPr="006D502F">
              <w:rPr>
                <w:rFonts w:ascii="Times New Roman" w:hAnsi="Times New Roman"/>
                <w:b w:val="0"/>
                <w:bCs/>
                <w:i w:val="0"/>
                <w:iCs/>
                <w:sz w:val="24"/>
                <w:szCs w:val="24"/>
                <w:lang w:eastAsia="en-US"/>
              </w:rPr>
              <w:t xml:space="preserve">- </w:t>
            </w:r>
            <w:r w:rsidRPr="006D502F">
              <w:rPr>
                <w:rFonts w:ascii="Times New Roman" w:hAnsi="Times New Roman"/>
                <w:b w:val="0"/>
                <w:i w:val="0"/>
                <w:sz w:val="24"/>
                <w:szCs w:val="24"/>
                <w:lang w:eastAsia="ru-RU"/>
              </w:rPr>
              <w:t>складання проектів документів щодо надання даних про хід та результати досудового розслідування у перейнятих кримінальних провадженнях, що отримані в порядку безпосередніх зносин, для інформування компетентного органу іноземної держави на виконання вимог ч. 6 ст. 598 КПК України</w:t>
            </w:r>
            <w:r w:rsidRPr="006D502F">
              <w:rPr>
                <w:rFonts w:ascii="Times New Roman" w:hAnsi="Times New Roman"/>
                <w:b w:val="0"/>
                <w:bCs/>
                <w:i w:val="0"/>
                <w:iCs/>
                <w:sz w:val="24"/>
                <w:szCs w:val="24"/>
                <w:lang w:eastAsia="en-US"/>
              </w:rPr>
              <w:t>;</w:t>
            </w:r>
          </w:p>
          <w:p w:rsidR="00DD5D76" w:rsidRPr="006D502F" w:rsidRDefault="00DD5D76" w:rsidP="0073410D">
            <w:pPr>
              <w:pStyle w:val="30"/>
              <w:shd w:val="clear" w:color="auto" w:fill="auto"/>
              <w:tabs>
                <w:tab w:val="left" w:pos="-426"/>
              </w:tabs>
              <w:spacing w:after="120" w:line="240" w:lineRule="auto"/>
              <w:rPr>
                <w:rFonts w:ascii="Times New Roman" w:hAnsi="Times New Roman"/>
                <w:b w:val="0"/>
                <w:bCs/>
                <w:i w:val="0"/>
                <w:iCs/>
                <w:sz w:val="24"/>
                <w:szCs w:val="24"/>
                <w:lang w:eastAsia="en-US"/>
              </w:rPr>
            </w:pPr>
            <w:r w:rsidRPr="006D502F">
              <w:rPr>
                <w:rFonts w:ascii="Times New Roman" w:hAnsi="Times New Roman"/>
                <w:b w:val="0"/>
                <w:bCs/>
                <w:i w:val="0"/>
                <w:iCs/>
                <w:sz w:val="24"/>
                <w:szCs w:val="24"/>
                <w:lang w:eastAsia="en-US"/>
              </w:rPr>
              <w:t xml:space="preserve">- </w:t>
            </w:r>
            <w:r w:rsidRPr="006D502F">
              <w:rPr>
                <w:rFonts w:ascii="Times New Roman" w:hAnsi="Times New Roman"/>
                <w:b w:val="0"/>
                <w:i w:val="0"/>
                <w:sz w:val="24"/>
                <w:szCs w:val="24"/>
                <w:lang w:eastAsia="ru-RU"/>
              </w:rPr>
              <w:t>формування наглядових проваджень за запитами правоохоронних та судових органів області та компетентних органів іноземних держав про міжнародну правову допомогу при проведенні процесуальних дій, видачі (екстрадиції) осіб, перейняття кримінального провадження</w:t>
            </w:r>
            <w:r w:rsidRPr="006D502F">
              <w:rPr>
                <w:rFonts w:ascii="Times New Roman" w:hAnsi="Times New Roman"/>
                <w:b w:val="0"/>
                <w:bCs/>
                <w:i w:val="0"/>
                <w:iCs/>
                <w:sz w:val="24"/>
                <w:szCs w:val="24"/>
                <w:lang w:eastAsia="en-US"/>
              </w:rPr>
              <w:t>;</w:t>
            </w:r>
          </w:p>
          <w:p w:rsidR="00DD5D76" w:rsidRPr="006D502F" w:rsidRDefault="00DD5D76" w:rsidP="0073410D">
            <w:pPr>
              <w:pStyle w:val="30"/>
              <w:shd w:val="clear" w:color="auto" w:fill="auto"/>
              <w:tabs>
                <w:tab w:val="left" w:pos="-426"/>
              </w:tabs>
              <w:spacing w:after="120" w:line="240" w:lineRule="auto"/>
              <w:rPr>
                <w:rFonts w:ascii="Times New Roman" w:hAnsi="Times New Roman"/>
                <w:b w:val="0"/>
                <w:bCs/>
                <w:i w:val="0"/>
                <w:iCs/>
                <w:color w:val="000000"/>
                <w:sz w:val="24"/>
                <w:szCs w:val="24"/>
              </w:rPr>
            </w:pPr>
            <w:r w:rsidRPr="006D502F">
              <w:rPr>
                <w:rFonts w:ascii="Times New Roman" w:hAnsi="Times New Roman"/>
                <w:b w:val="0"/>
                <w:bCs/>
                <w:i w:val="0"/>
                <w:iCs/>
                <w:sz w:val="24"/>
                <w:szCs w:val="24"/>
                <w:lang w:eastAsia="en-US"/>
              </w:rPr>
              <w:t>- с</w:t>
            </w:r>
            <w:r w:rsidRPr="006D502F">
              <w:rPr>
                <w:rFonts w:ascii="Times New Roman" w:hAnsi="Times New Roman"/>
                <w:b w:val="0"/>
                <w:i w:val="0"/>
                <w:sz w:val="24"/>
                <w:szCs w:val="24"/>
                <w:lang w:eastAsia="ru-RU"/>
              </w:rPr>
              <w:t>кладання проектів листів до установ та органів юстиції, судових та правоохоронних органів, підрозділів Державної міграційної служби тощо про надання інформацій стосовно осіб, щодо яких виконуються чи готуються запити про міжнародну правову допомогу, вирішуються питання про оголошення міжнародного розшуку, проводяться екстрадиційні перевірки</w:t>
            </w:r>
            <w:r w:rsidRPr="006D502F">
              <w:rPr>
                <w:rFonts w:ascii="Times New Roman" w:hAnsi="Times New Roman"/>
                <w:b w:val="0"/>
                <w:bCs/>
                <w:i w:val="0"/>
                <w:iCs/>
                <w:color w:val="000000"/>
                <w:sz w:val="24"/>
                <w:szCs w:val="24"/>
              </w:rPr>
              <w:t>;</w:t>
            </w:r>
          </w:p>
          <w:p w:rsidR="00DD5D76" w:rsidRPr="006D502F" w:rsidRDefault="00DD5D76" w:rsidP="00C04C60">
            <w:pPr>
              <w:pStyle w:val="30"/>
              <w:shd w:val="clear" w:color="auto" w:fill="auto"/>
              <w:tabs>
                <w:tab w:val="left" w:pos="-426"/>
              </w:tabs>
              <w:spacing w:after="120" w:line="240" w:lineRule="auto"/>
              <w:rPr>
                <w:rFonts w:ascii="Times New Roman" w:hAnsi="Times New Roman"/>
                <w:b w:val="0"/>
                <w:i w:val="0"/>
                <w:sz w:val="24"/>
                <w:szCs w:val="24"/>
                <w:lang w:eastAsia="ru-RU"/>
              </w:rPr>
            </w:pPr>
            <w:r w:rsidRPr="006D502F">
              <w:rPr>
                <w:rFonts w:ascii="Times New Roman" w:hAnsi="Times New Roman"/>
                <w:b w:val="0"/>
                <w:bCs/>
                <w:i w:val="0"/>
                <w:iCs/>
                <w:color w:val="000000"/>
                <w:sz w:val="24"/>
                <w:szCs w:val="24"/>
              </w:rPr>
              <w:t xml:space="preserve">- </w:t>
            </w:r>
            <w:r w:rsidRPr="006D502F">
              <w:rPr>
                <w:rFonts w:ascii="Times New Roman" w:hAnsi="Times New Roman"/>
                <w:b w:val="0"/>
                <w:i w:val="0"/>
                <w:sz w:val="24"/>
                <w:szCs w:val="24"/>
                <w:lang w:eastAsia="ru-RU"/>
              </w:rPr>
              <w:t>підготовка доручень на переклад запитів про міжнародну правову допомогу, ведення роботи з обліку направлених матеріалів на переклад та виконаних перекладів, підготовка проектів листів для передачі отриманих матеріалів ініціаторам запитів;</w:t>
            </w:r>
          </w:p>
          <w:p w:rsidR="00DD5D76" w:rsidRPr="006D502F" w:rsidRDefault="00DD5D76" w:rsidP="00C04C60">
            <w:pPr>
              <w:pStyle w:val="30"/>
              <w:shd w:val="clear" w:color="auto" w:fill="auto"/>
              <w:tabs>
                <w:tab w:val="left" w:pos="-426"/>
              </w:tabs>
              <w:spacing w:after="120" w:line="240" w:lineRule="auto"/>
              <w:rPr>
                <w:rFonts w:ascii="Times New Roman" w:hAnsi="Times New Roman"/>
                <w:b w:val="0"/>
                <w:i w:val="0"/>
                <w:sz w:val="24"/>
                <w:szCs w:val="24"/>
                <w:lang w:eastAsia="ru-RU"/>
              </w:rPr>
            </w:pPr>
            <w:r w:rsidRPr="006D502F">
              <w:rPr>
                <w:rFonts w:ascii="Times New Roman" w:hAnsi="Times New Roman"/>
                <w:b w:val="0"/>
                <w:i w:val="0"/>
                <w:sz w:val="24"/>
                <w:szCs w:val="24"/>
                <w:lang w:eastAsia="ru-RU"/>
              </w:rPr>
              <w:t>- підготовка проектів документів, необхідних для здійснення заходів міжнародного характеру (зустрічі, переговори, конференції, семінари, наради тощо) та проектів листів для погодження Офісом Генерального прокурора зустрічей з представниками іноземних держав або міжнародних організацій (іноземними делегаціями); ведення відповідної книги обліку;</w:t>
            </w:r>
          </w:p>
          <w:p w:rsidR="00DD5D76" w:rsidRPr="006D502F" w:rsidRDefault="00DD5D76" w:rsidP="00C04C60">
            <w:pPr>
              <w:pStyle w:val="30"/>
              <w:shd w:val="clear" w:color="auto" w:fill="auto"/>
              <w:tabs>
                <w:tab w:val="left" w:pos="-426"/>
              </w:tabs>
              <w:spacing w:after="120" w:line="240" w:lineRule="auto"/>
              <w:rPr>
                <w:rFonts w:ascii="Times New Roman" w:hAnsi="Times New Roman"/>
                <w:b w:val="0"/>
                <w:bCs/>
                <w:i w:val="0"/>
                <w:iCs/>
                <w:color w:val="000000"/>
                <w:sz w:val="24"/>
                <w:szCs w:val="24"/>
                <w:lang w:eastAsia="en-US"/>
              </w:rPr>
            </w:pPr>
            <w:r w:rsidRPr="006D502F">
              <w:rPr>
                <w:rFonts w:ascii="Times New Roman" w:hAnsi="Times New Roman"/>
                <w:b w:val="0"/>
                <w:i w:val="0"/>
                <w:sz w:val="24"/>
                <w:szCs w:val="24"/>
                <w:lang w:eastAsia="ru-RU"/>
              </w:rPr>
              <w:t>- виконання службових доручень керівництва обласної прокуратури та начальника відділу з питань компетенції підрозділу.</w:t>
            </w:r>
          </w:p>
        </w:tc>
      </w:tr>
      <w:tr w:rsidR="00DD5D76" w:rsidRPr="00FB1754" w:rsidTr="009E2C64">
        <w:tblPrEx>
          <w:tblLook w:val="00A0"/>
        </w:tblPrEx>
        <w:trPr>
          <w:trHeight w:val="880"/>
        </w:trPr>
        <w:tc>
          <w:tcPr>
            <w:tcW w:w="3330" w:type="dxa"/>
            <w:gridSpan w:val="3"/>
          </w:tcPr>
          <w:p w:rsidR="00DD5D76" w:rsidRPr="00E93DCC" w:rsidRDefault="00DD5D76" w:rsidP="00B05A70">
            <w:pPr>
              <w:rPr>
                <w:sz w:val="24"/>
                <w:szCs w:val="24"/>
              </w:rPr>
            </w:pPr>
            <w:r w:rsidRPr="00E93DCC">
              <w:rPr>
                <w:sz w:val="24"/>
                <w:szCs w:val="24"/>
              </w:rPr>
              <w:t xml:space="preserve">Умови оплати праці </w:t>
            </w:r>
          </w:p>
        </w:tc>
        <w:tc>
          <w:tcPr>
            <w:tcW w:w="6559" w:type="dxa"/>
          </w:tcPr>
          <w:p w:rsidR="00DD5D76" w:rsidRPr="00E93DCC" w:rsidRDefault="00DD5D76" w:rsidP="00B05A70">
            <w:pPr>
              <w:rPr>
                <w:sz w:val="24"/>
                <w:szCs w:val="24"/>
              </w:rPr>
            </w:pPr>
            <w:r>
              <w:rPr>
                <w:sz w:val="24"/>
                <w:szCs w:val="24"/>
              </w:rPr>
              <w:t>посадовий оклад – 5500 грн</w:t>
            </w:r>
            <w:r w:rsidRPr="00E93DCC">
              <w:rPr>
                <w:sz w:val="24"/>
                <w:szCs w:val="24"/>
              </w:rPr>
              <w:t>, надбавки та доплати відповідно до статті 52 Закону України «Про державну службу»</w:t>
            </w:r>
            <w:r>
              <w:rPr>
                <w:sz w:val="24"/>
                <w:szCs w:val="24"/>
              </w:rPr>
              <w:t>,</w:t>
            </w:r>
            <w:r w:rsidRPr="00E93DCC">
              <w:rPr>
                <w:sz w:val="24"/>
                <w:szCs w:val="24"/>
              </w:rPr>
              <w:t xml:space="preserve"> постанови Кабінету Міністрів У</w:t>
            </w:r>
            <w:r>
              <w:rPr>
                <w:sz w:val="24"/>
                <w:szCs w:val="24"/>
              </w:rPr>
              <w:t>країни від 18.01.2017 №</w:t>
            </w:r>
            <w:r w:rsidRPr="00E93DCC">
              <w:rPr>
                <w:sz w:val="24"/>
                <w:szCs w:val="24"/>
              </w:rPr>
              <w:t>15 «Питання оплати праці працівників державних органів» (зі змінами)</w:t>
            </w:r>
            <w:r>
              <w:rPr>
                <w:sz w:val="24"/>
                <w:szCs w:val="24"/>
              </w:rPr>
              <w:t xml:space="preserve">. </w:t>
            </w:r>
          </w:p>
        </w:tc>
      </w:tr>
      <w:tr w:rsidR="00DD5D76" w:rsidRPr="00FB1754" w:rsidTr="009E2C64">
        <w:tblPrEx>
          <w:tblLook w:val="00A0"/>
        </w:tblPrEx>
        <w:tc>
          <w:tcPr>
            <w:tcW w:w="3330" w:type="dxa"/>
            <w:gridSpan w:val="3"/>
          </w:tcPr>
          <w:p w:rsidR="00DD5D76" w:rsidRPr="00E93DCC" w:rsidRDefault="00DD5D76" w:rsidP="00B05A70">
            <w:pPr>
              <w:jc w:val="left"/>
              <w:rPr>
                <w:sz w:val="24"/>
                <w:szCs w:val="24"/>
              </w:rPr>
            </w:pPr>
            <w:r w:rsidRPr="00E93DCC">
              <w:rPr>
                <w:sz w:val="24"/>
                <w:szCs w:val="24"/>
              </w:rPr>
              <w:t>Інформація про строковість чи безстроковість призначення на посаду</w:t>
            </w:r>
          </w:p>
          <w:p w:rsidR="00DD5D76" w:rsidRPr="00E93DCC" w:rsidRDefault="00DD5D76" w:rsidP="00B05A70">
            <w:pPr>
              <w:jc w:val="left"/>
              <w:rPr>
                <w:sz w:val="24"/>
                <w:szCs w:val="24"/>
              </w:rPr>
            </w:pPr>
          </w:p>
        </w:tc>
        <w:tc>
          <w:tcPr>
            <w:tcW w:w="6559" w:type="dxa"/>
          </w:tcPr>
          <w:p w:rsidR="00DD5D76" w:rsidRDefault="00DD5D76" w:rsidP="000E4068">
            <w:pPr>
              <w:rPr>
                <w:sz w:val="24"/>
                <w:szCs w:val="24"/>
              </w:rPr>
            </w:pPr>
            <w:r>
              <w:rPr>
                <w:sz w:val="24"/>
                <w:szCs w:val="24"/>
              </w:rPr>
              <w:t>строково, за контрактом, укладеним н</w:t>
            </w:r>
            <w:r w:rsidRPr="003F1187">
              <w:rPr>
                <w:sz w:val="24"/>
                <w:szCs w:val="24"/>
              </w:rPr>
              <w:t>а період дії карантину</w:t>
            </w:r>
            <w:r>
              <w:rPr>
                <w:sz w:val="24"/>
                <w:szCs w:val="24"/>
              </w:rPr>
              <w:t xml:space="preserve">,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  </w:t>
            </w:r>
          </w:p>
          <w:p w:rsidR="00DD5D76" w:rsidRPr="003F1187" w:rsidRDefault="00DD5D76" w:rsidP="000E4068">
            <w:pPr>
              <w:rPr>
                <w:sz w:val="24"/>
                <w:szCs w:val="24"/>
              </w:rPr>
            </w:pPr>
            <w:r>
              <w:rPr>
                <w:sz w:val="24"/>
                <w:szCs w:val="24"/>
              </w:rPr>
              <w:t>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DD5D76" w:rsidRPr="00FB1754" w:rsidTr="009E2C64">
        <w:tblPrEx>
          <w:tblLook w:val="00A0"/>
        </w:tblPrEx>
        <w:tc>
          <w:tcPr>
            <w:tcW w:w="3330" w:type="dxa"/>
            <w:gridSpan w:val="3"/>
          </w:tcPr>
          <w:p w:rsidR="00DD5D76" w:rsidRPr="00E93DCC" w:rsidRDefault="00DD5D76" w:rsidP="00192310">
            <w:pPr>
              <w:jc w:val="left"/>
              <w:rPr>
                <w:sz w:val="24"/>
                <w:szCs w:val="24"/>
              </w:rPr>
            </w:pPr>
            <w:r w:rsidRPr="00E93DCC">
              <w:rPr>
                <w:sz w:val="24"/>
                <w:szCs w:val="24"/>
              </w:rPr>
              <w:t xml:space="preserve">Перелік інформації, </w:t>
            </w:r>
            <w:r>
              <w:rPr>
                <w:sz w:val="24"/>
                <w:szCs w:val="24"/>
              </w:rPr>
              <w:t>необхідної для участі в доборі</w:t>
            </w:r>
            <w:r w:rsidRPr="00E93DCC">
              <w:rPr>
                <w:sz w:val="24"/>
                <w:szCs w:val="24"/>
              </w:rPr>
              <w:t>, та строк її подання</w:t>
            </w:r>
          </w:p>
        </w:tc>
        <w:tc>
          <w:tcPr>
            <w:tcW w:w="6559" w:type="dxa"/>
          </w:tcPr>
          <w:p w:rsidR="00DD5D76" w:rsidRDefault="00DD5D76" w:rsidP="000E4068">
            <w:pPr>
              <w:spacing w:before="40" w:after="40"/>
              <w:ind w:right="57"/>
              <w:rPr>
                <w:sz w:val="24"/>
                <w:szCs w:val="24"/>
              </w:rPr>
            </w:pPr>
            <w:r>
              <w:rPr>
                <w:sz w:val="24"/>
                <w:szCs w:val="24"/>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DD5D76" w:rsidRPr="002F074F" w:rsidRDefault="00DD5D76" w:rsidP="000E4068">
            <w:pPr>
              <w:spacing w:before="40" w:after="40"/>
              <w:ind w:left="57" w:right="57" w:firstLine="284"/>
              <w:rPr>
                <w:b/>
                <w:bCs/>
                <w:sz w:val="24"/>
                <w:szCs w:val="24"/>
              </w:rPr>
            </w:pPr>
            <w:r w:rsidRPr="002F074F">
              <w:rPr>
                <w:sz w:val="24"/>
                <w:szCs w:val="24"/>
              </w:rPr>
              <w:t>1) заява</w:t>
            </w:r>
            <w:r>
              <w:rPr>
                <w:sz w:val="24"/>
                <w:szCs w:val="24"/>
              </w:rPr>
              <w:t xml:space="preserve">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Міністрів України від 22.04.2020 №290 </w:t>
            </w:r>
            <w:r w:rsidRPr="002F074F">
              <w:rPr>
                <w:sz w:val="24"/>
                <w:szCs w:val="24"/>
              </w:rPr>
              <w:t>;</w:t>
            </w:r>
          </w:p>
          <w:p w:rsidR="00DD5D76" w:rsidRPr="002F074F" w:rsidRDefault="00DD5D76" w:rsidP="000E4068">
            <w:pPr>
              <w:spacing w:before="40" w:after="40"/>
              <w:ind w:left="57" w:right="57" w:firstLine="284"/>
              <w:rPr>
                <w:b/>
                <w:sz w:val="24"/>
                <w:szCs w:val="24"/>
              </w:rPr>
            </w:pPr>
            <w:r w:rsidRPr="002F074F">
              <w:rPr>
                <w:sz w:val="24"/>
                <w:szCs w:val="24"/>
              </w:rPr>
              <w:t>2)</w:t>
            </w:r>
            <w:r>
              <w:rPr>
                <w:sz w:val="24"/>
                <w:szCs w:val="24"/>
              </w:rPr>
              <w:t> резюме за встановленою формою згідно з додатком 2 до Порядку</w:t>
            </w:r>
            <w:r w:rsidRPr="002F074F">
              <w:rPr>
                <w:sz w:val="24"/>
                <w:szCs w:val="24"/>
              </w:rPr>
              <w:t>:</w:t>
            </w:r>
          </w:p>
          <w:p w:rsidR="00DD5D76" w:rsidRPr="00AE096C" w:rsidRDefault="00DD5D76" w:rsidP="000E4068">
            <w:pPr>
              <w:spacing w:before="40" w:after="40"/>
              <w:ind w:left="57" w:right="57" w:firstLine="284"/>
              <w:rPr>
                <w:b/>
                <w:sz w:val="24"/>
                <w:szCs w:val="24"/>
              </w:rPr>
            </w:pPr>
            <w:r w:rsidRPr="002F074F">
              <w:rPr>
                <w:sz w:val="24"/>
                <w:szCs w:val="24"/>
              </w:rPr>
              <w:t>3) заява, в якій особа повідомляє</w:t>
            </w:r>
            <w:r>
              <w:rPr>
                <w:sz w:val="24"/>
                <w:szCs w:val="24"/>
              </w:rPr>
              <w:t>,</w:t>
            </w:r>
            <w:r w:rsidRPr="002F074F">
              <w:rPr>
                <w:sz w:val="24"/>
                <w:szCs w:val="24"/>
              </w:rPr>
              <w:t xml:space="preserve"> що до неї не застосовуються заборони, визначені частинами третьою або четвертою статті 1 Закону України «Про очищення влади»</w:t>
            </w:r>
            <w:r>
              <w:rPr>
                <w:sz w:val="24"/>
                <w:szCs w:val="24"/>
              </w:rPr>
              <w:t>,</w:t>
            </w:r>
            <w:r w:rsidRPr="002F074F">
              <w:rPr>
                <w:sz w:val="24"/>
                <w:szCs w:val="24"/>
              </w:rPr>
              <w:t xml:space="preserve"> та надає згоду на проходження перевірки та на оприлюднення відомостей стосовно неї відповідно до зазначеного Закону</w:t>
            </w:r>
          </w:p>
          <w:p w:rsidR="00DD5D76" w:rsidRDefault="00DD5D76" w:rsidP="000E4068">
            <w:pPr>
              <w:tabs>
                <w:tab w:val="left" w:pos="602"/>
              </w:tabs>
              <w:spacing w:after="120"/>
              <w:ind w:left="-69" w:right="4" w:firstLine="206"/>
              <w:rPr>
                <w:color w:val="000000"/>
                <w:sz w:val="26"/>
                <w:szCs w:val="26"/>
                <w:lang w:eastAsia="uk-UA"/>
              </w:rPr>
            </w:pPr>
            <w:r w:rsidRPr="00E93DCC">
              <w:rPr>
                <w:b/>
                <w:sz w:val="24"/>
                <w:szCs w:val="24"/>
              </w:rPr>
              <w:t xml:space="preserve">Інформація </w:t>
            </w:r>
            <w:r>
              <w:rPr>
                <w:b/>
                <w:sz w:val="24"/>
                <w:szCs w:val="24"/>
              </w:rPr>
              <w:t xml:space="preserve">для участі у доборі </w:t>
            </w:r>
            <w:r w:rsidRPr="00E93DCC">
              <w:rPr>
                <w:b/>
                <w:sz w:val="24"/>
                <w:szCs w:val="24"/>
              </w:rPr>
              <w:t>подається до</w:t>
            </w:r>
            <w:r w:rsidRPr="00E93DCC">
              <w:rPr>
                <w:sz w:val="24"/>
                <w:szCs w:val="24"/>
              </w:rPr>
              <w:t xml:space="preserve"> </w:t>
            </w:r>
            <w:r>
              <w:rPr>
                <w:sz w:val="24"/>
                <w:szCs w:val="24"/>
              </w:rPr>
              <w:t xml:space="preserve">                     </w:t>
            </w:r>
            <w:r>
              <w:rPr>
                <w:b/>
                <w:sz w:val="24"/>
                <w:szCs w:val="24"/>
              </w:rPr>
              <w:t>17 год. 00 хв. 05 жовтня 2020</w:t>
            </w:r>
            <w:r w:rsidRPr="00E93DCC">
              <w:rPr>
                <w:b/>
                <w:sz w:val="24"/>
                <w:szCs w:val="24"/>
              </w:rPr>
              <w:t xml:space="preserve"> року</w:t>
            </w:r>
            <w:r w:rsidRPr="00E93DCC">
              <w:rPr>
                <w:sz w:val="24"/>
                <w:szCs w:val="24"/>
              </w:rPr>
              <w:t xml:space="preserve"> через Єдиний портал </w:t>
            </w:r>
            <w:r>
              <w:rPr>
                <w:sz w:val="24"/>
                <w:szCs w:val="24"/>
              </w:rPr>
              <w:t xml:space="preserve">вакансій державної служби НАДС </w:t>
            </w:r>
            <w:r>
              <w:rPr>
                <w:color w:val="000000"/>
                <w:sz w:val="26"/>
                <w:szCs w:val="26"/>
                <w:lang w:eastAsia="uk-UA"/>
              </w:rPr>
              <w:t>(career.gov.ua).</w:t>
            </w:r>
          </w:p>
          <w:p w:rsidR="00DD5D76" w:rsidRPr="00F0226E" w:rsidRDefault="00DD5D76" w:rsidP="000E4068">
            <w:pPr>
              <w:spacing w:after="40"/>
              <w:rPr>
                <w:b/>
                <w:sz w:val="24"/>
                <w:szCs w:val="24"/>
              </w:rPr>
            </w:pPr>
            <w:r>
              <w:rPr>
                <w:sz w:val="24"/>
                <w:szCs w:val="24"/>
                <w:shd w:val="clear" w:color="auto" w:fill="FFFFFF"/>
              </w:rPr>
              <w:t>Про дату, час та місце проведення співбесіди запрошеним для проходження кандидатам буде повідомлено додатково (електронною поштою).</w:t>
            </w:r>
          </w:p>
        </w:tc>
      </w:tr>
      <w:tr w:rsidR="00DD5D76" w:rsidRPr="00FB1754" w:rsidTr="009E2C64">
        <w:tblPrEx>
          <w:tblLook w:val="00A0"/>
        </w:tblPrEx>
        <w:tc>
          <w:tcPr>
            <w:tcW w:w="3330" w:type="dxa"/>
            <w:gridSpan w:val="3"/>
          </w:tcPr>
          <w:p w:rsidR="00DD5D76" w:rsidRPr="00E93DCC" w:rsidRDefault="00DD5D76" w:rsidP="00B05A70">
            <w:pPr>
              <w:rPr>
                <w:sz w:val="24"/>
                <w:szCs w:val="24"/>
              </w:rPr>
            </w:pPr>
            <w:r w:rsidRPr="00E93DCC">
              <w:rPr>
                <w:sz w:val="24"/>
                <w:szCs w:val="24"/>
              </w:rPr>
              <w:t>Прізвище, ім’я та по батькові, номер телефону та адреса електронної пошти особи, яка надає додаткову інформацію з питань проведення</w:t>
            </w:r>
            <w:r>
              <w:rPr>
                <w:sz w:val="24"/>
                <w:szCs w:val="24"/>
              </w:rPr>
              <w:t xml:space="preserve"> добору</w:t>
            </w:r>
          </w:p>
        </w:tc>
        <w:tc>
          <w:tcPr>
            <w:tcW w:w="6559" w:type="dxa"/>
          </w:tcPr>
          <w:p w:rsidR="00DD5D76" w:rsidRDefault="00DD5D76" w:rsidP="00B05A70">
            <w:pPr>
              <w:rPr>
                <w:sz w:val="24"/>
                <w:szCs w:val="24"/>
                <w:lang w:val="ru-RU"/>
              </w:rPr>
            </w:pPr>
            <w:r>
              <w:rPr>
                <w:sz w:val="24"/>
                <w:szCs w:val="24"/>
                <w:lang w:val="ru-RU"/>
              </w:rPr>
              <w:t>Гіндик Альона Миколаївна (0472-37-71-88)</w:t>
            </w:r>
          </w:p>
          <w:p w:rsidR="00DD5D76" w:rsidRPr="005D1F99" w:rsidRDefault="00DD5D76" w:rsidP="00B05A70">
            <w:pPr>
              <w:rPr>
                <w:sz w:val="24"/>
                <w:szCs w:val="24"/>
                <w:u w:val="single"/>
                <w:lang w:val="ru-RU"/>
              </w:rPr>
            </w:pPr>
            <w:r>
              <w:rPr>
                <w:sz w:val="24"/>
                <w:szCs w:val="24"/>
                <w:u w:val="single"/>
                <w:lang w:val="en-US"/>
              </w:rPr>
              <w:t>v</w:t>
            </w:r>
            <w:r w:rsidRPr="005D1F99">
              <w:rPr>
                <w:sz w:val="24"/>
                <w:szCs w:val="24"/>
                <w:u w:val="single"/>
                <w:lang w:val="ru-RU"/>
              </w:rPr>
              <w:t>.</w:t>
            </w:r>
            <w:r>
              <w:rPr>
                <w:sz w:val="24"/>
                <w:szCs w:val="24"/>
                <w:u w:val="single"/>
                <w:lang w:val="en-US"/>
              </w:rPr>
              <w:t>kadriv</w:t>
            </w:r>
            <w:r w:rsidRPr="005D1F99">
              <w:rPr>
                <w:sz w:val="24"/>
                <w:szCs w:val="24"/>
                <w:u w:val="single"/>
                <w:lang w:val="ru-RU"/>
              </w:rPr>
              <w:t>.</w:t>
            </w:r>
            <w:r>
              <w:rPr>
                <w:sz w:val="24"/>
                <w:szCs w:val="24"/>
                <w:u w:val="single"/>
                <w:lang w:val="en-US"/>
              </w:rPr>
              <w:t>po</w:t>
            </w:r>
            <w:r w:rsidRPr="005D1F99">
              <w:rPr>
                <w:sz w:val="24"/>
                <w:szCs w:val="24"/>
                <w:u w:val="single"/>
                <w:lang w:val="ru-RU"/>
              </w:rPr>
              <w:t>@</w:t>
            </w:r>
            <w:r>
              <w:rPr>
                <w:sz w:val="24"/>
                <w:szCs w:val="24"/>
                <w:u w:val="single"/>
                <w:lang w:val="en-US"/>
              </w:rPr>
              <w:t>gmail</w:t>
            </w:r>
            <w:r w:rsidRPr="005D1F99">
              <w:rPr>
                <w:sz w:val="24"/>
                <w:szCs w:val="24"/>
                <w:u w:val="single"/>
                <w:lang w:val="ru-RU"/>
              </w:rPr>
              <w:t>.</w:t>
            </w:r>
            <w:r>
              <w:rPr>
                <w:sz w:val="24"/>
                <w:szCs w:val="24"/>
                <w:u w:val="single"/>
                <w:lang w:val="en-US"/>
              </w:rPr>
              <w:t>com</w:t>
            </w:r>
          </w:p>
          <w:p w:rsidR="00DD5D76" w:rsidRPr="00E93DCC" w:rsidRDefault="00DD5D76" w:rsidP="00B05A70">
            <w:pPr>
              <w:rPr>
                <w:sz w:val="24"/>
                <w:szCs w:val="24"/>
              </w:rPr>
            </w:pPr>
          </w:p>
        </w:tc>
      </w:tr>
      <w:tr w:rsidR="00DD5D76" w:rsidRPr="00FB1754" w:rsidTr="009E2C64">
        <w:tblPrEx>
          <w:tblLook w:val="00A0"/>
        </w:tblPrEx>
        <w:tc>
          <w:tcPr>
            <w:tcW w:w="9889" w:type="dxa"/>
            <w:gridSpan w:val="4"/>
          </w:tcPr>
          <w:p w:rsidR="00DD5D76" w:rsidRPr="00E93DCC" w:rsidRDefault="00DD5D76" w:rsidP="00B05A70">
            <w:pPr>
              <w:jc w:val="center"/>
              <w:rPr>
                <w:b/>
                <w:sz w:val="24"/>
                <w:szCs w:val="24"/>
              </w:rPr>
            </w:pPr>
            <w:r w:rsidRPr="00E93DCC">
              <w:rPr>
                <w:b/>
                <w:sz w:val="24"/>
                <w:szCs w:val="24"/>
              </w:rPr>
              <w:t>Кваліфікаційні вимоги</w:t>
            </w:r>
          </w:p>
        </w:tc>
      </w:tr>
      <w:tr w:rsidR="00DD5D76" w:rsidRPr="00FB1754" w:rsidTr="009E2C64">
        <w:tblPrEx>
          <w:tblLook w:val="00A0"/>
        </w:tblPrEx>
        <w:tc>
          <w:tcPr>
            <w:tcW w:w="675" w:type="dxa"/>
          </w:tcPr>
          <w:p w:rsidR="00DD5D76" w:rsidRPr="00E93DCC" w:rsidRDefault="00DD5D76" w:rsidP="00B05A70">
            <w:pPr>
              <w:rPr>
                <w:sz w:val="24"/>
                <w:szCs w:val="24"/>
              </w:rPr>
            </w:pPr>
            <w:r w:rsidRPr="00E93DCC">
              <w:rPr>
                <w:sz w:val="24"/>
                <w:szCs w:val="24"/>
              </w:rPr>
              <w:t>1</w:t>
            </w:r>
          </w:p>
        </w:tc>
        <w:tc>
          <w:tcPr>
            <w:tcW w:w="2655" w:type="dxa"/>
            <w:gridSpan w:val="2"/>
          </w:tcPr>
          <w:p w:rsidR="00DD5D76" w:rsidRPr="00E93DCC" w:rsidRDefault="00DD5D76" w:rsidP="00B05A70">
            <w:pPr>
              <w:rPr>
                <w:sz w:val="24"/>
                <w:szCs w:val="24"/>
              </w:rPr>
            </w:pPr>
            <w:r w:rsidRPr="00E93DCC">
              <w:rPr>
                <w:sz w:val="24"/>
                <w:szCs w:val="24"/>
              </w:rPr>
              <w:t>Освіта</w:t>
            </w:r>
          </w:p>
        </w:tc>
        <w:tc>
          <w:tcPr>
            <w:tcW w:w="6559" w:type="dxa"/>
          </w:tcPr>
          <w:p w:rsidR="00DD5D76" w:rsidRPr="000F3990" w:rsidRDefault="00DD5D76" w:rsidP="00C30760">
            <w:pPr>
              <w:rPr>
                <w:sz w:val="24"/>
                <w:szCs w:val="24"/>
                <w:shd w:val="clear" w:color="auto" w:fill="FFFFFF"/>
              </w:rPr>
            </w:pPr>
            <w:r w:rsidRPr="000F3990">
              <w:rPr>
                <w:sz w:val="24"/>
                <w:szCs w:val="24"/>
                <w:shd w:val="clear" w:color="auto" w:fill="FFFFFF"/>
              </w:rPr>
              <w:t xml:space="preserve">вища освіта не нижче молодшого бакалавра або бакалавра </w:t>
            </w:r>
          </w:p>
          <w:p w:rsidR="00DD5D76" w:rsidRPr="00E93DCC" w:rsidRDefault="00DD5D76" w:rsidP="00C30760">
            <w:pPr>
              <w:rPr>
                <w:sz w:val="24"/>
                <w:szCs w:val="24"/>
              </w:rPr>
            </w:pPr>
            <w:r w:rsidRPr="00E93DCC">
              <w:rPr>
                <w:b/>
                <w:sz w:val="24"/>
                <w:szCs w:val="24"/>
                <w:shd w:val="clear" w:color="auto" w:fill="FFFFFF"/>
              </w:rPr>
              <w:t>(</w:t>
            </w:r>
            <w:r>
              <w:rPr>
                <w:b/>
                <w:sz w:val="24"/>
                <w:szCs w:val="24"/>
                <w:shd w:val="clear" w:color="auto" w:fill="FFFFFF"/>
              </w:rPr>
              <w:t>спеціальності: «Правознавство»/</w:t>
            </w:r>
            <w:r w:rsidRPr="00E93DCC">
              <w:rPr>
                <w:b/>
                <w:sz w:val="24"/>
                <w:szCs w:val="24"/>
                <w:shd w:val="clear" w:color="auto" w:fill="FFFFFF"/>
              </w:rPr>
              <w:t>«Право»</w:t>
            </w:r>
            <w:r>
              <w:rPr>
                <w:b/>
                <w:sz w:val="24"/>
                <w:szCs w:val="24"/>
                <w:shd w:val="clear" w:color="auto" w:fill="FFFFFF"/>
              </w:rPr>
              <w:t>)</w:t>
            </w:r>
          </w:p>
        </w:tc>
      </w:tr>
      <w:tr w:rsidR="00DD5D76" w:rsidRPr="00FB1754" w:rsidTr="009E2C64">
        <w:tblPrEx>
          <w:tblLook w:val="00A0"/>
        </w:tblPrEx>
        <w:tc>
          <w:tcPr>
            <w:tcW w:w="675" w:type="dxa"/>
          </w:tcPr>
          <w:p w:rsidR="00DD5D76" w:rsidRPr="00E93DCC" w:rsidRDefault="00DD5D76" w:rsidP="00B05A70">
            <w:pPr>
              <w:rPr>
                <w:sz w:val="24"/>
                <w:szCs w:val="24"/>
              </w:rPr>
            </w:pPr>
            <w:r w:rsidRPr="00E93DCC">
              <w:rPr>
                <w:sz w:val="24"/>
                <w:szCs w:val="24"/>
              </w:rPr>
              <w:t>2</w:t>
            </w:r>
          </w:p>
        </w:tc>
        <w:tc>
          <w:tcPr>
            <w:tcW w:w="2655" w:type="dxa"/>
            <w:gridSpan w:val="2"/>
          </w:tcPr>
          <w:p w:rsidR="00DD5D76" w:rsidRPr="00E93DCC" w:rsidRDefault="00DD5D76" w:rsidP="00B05A70">
            <w:pPr>
              <w:rPr>
                <w:sz w:val="24"/>
                <w:szCs w:val="24"/>
              </w:rPr>
            </w:pPr>
            <w:r w:rsidRPr="00E93DCC">
              <w:rPr>
                <w:sz w:val="24"/>
                <w:szCs w:val="24"/>
              </w:rPr>
              <w:t xml:space="preserve">Досвід роботи </w:t>
            </w:r>
          </w:p>
        </w:tc>
        <w:tc>
          <w:tcPr>
            <w:tcW w:w="6559" w:type="dxa"/>
          </w:tcPr>
          <w:p w:rsidR="00DD5D76" w:rsidRPr="00E93DCC" w:rsidRDefault="00DD5D76" w:rsidP="00B05A70">
            <w:pPr>
              <w:rPr>
                <w:sz w:val="24"/>
                <w:szCs w:val="24"/>
              </w:rPr>
            </w:pPr>
            <w:r>
              <w:rPr>
                <w:sz w:val="24"/>
                <w:szCs w:val="24"/>
              </w:rPr>
              <w:t>не потребує</w:t>
            </w:r>
          </w:p>
        </w:tc>
      </w:tr>
      <w:tr w:rsidR="00DD5D76" w:rsidRPr="00FB1754" w:rsidTr="009E2C64">
        <w:tblPrEx>
          <w:tblLook w:val="00A0"/>
        </w:tblPrEx>
        <w:trPr>
          <w:trHeight w:val="723"/>
        </w:trPr>
        <w:tc>
          <w:tcPr>
            <w:tcW w:w="675" w:type="dxa"/>
          </w:tcPr>
          <w:p w:rsidR="00DD5D76" w:rsidRPr="00E93DCC" w:rsidRDefault="00DD5D76" w:rsidP="00B05A70">
            <w:pPr>
              <w:rPr>
                <w:sz w:val="24"/>
                <w:szCs w:val="24"/>
              </w:rPr>
            </w:pPr>
            <w:r w:rsidRPr="00E93DCC">
              <w:rPr>
                <w:sz w:val="24"/>
                <w:szCs w:val="24"/>
              </w:rPr>
              <w:t>3</w:t>
            </w:r>
          </w:p>
        </w:tc>
        <w:tc>
          <w:tcPr>
            <w:tcW w:w="2655" w:type="dxa"/>
            <w:gridSpan w:val="2"/>
          </w:tcPr>
          <w:p w:rsidR="00DD5D76" w:rsidRPr="00E93DCC" w:rsidRDefault="00DD5D76" w:rsidP="00B05A70">
            <w:pPr>
              <w:rPr>
                <w:sz w:val="24"/>
                <w:szCs w:val="24"/>
              </w:rPr>
            </w:pPr>
            <w:r w:rsidRPr="00E93DCC">
              <w:rPr>
                <w:sz w:val="24"/>
                <w:szCs w:val="24"/>
              </w:rPr>
              <w:t xml:space="preserve">Володіння державною </w:t>
            </w:r>
          </w:p>
          <w:p w:rsidR="00DD5D76" w:rsidRPr="00243317" w:rsidRDefault="00DD5D76" w:rsidP="00B05A70">
            <w:pPr>
              <w:rPr>
                <w:sz w:val="24"/>
                <w:szCs w:val="24"/>
              </w:rPr>
            </w:pPr>
            <w:r w:rsidRPr="00E93DCC">
              <w:rPr>
                <w:sz w:val="24"/>
                <w:szCs w:val="24"/>
              </w:rPr>
              <w:t>мовою</w:t>
            </w:r>
          </w:p>
        </w:tc>
        <w:tc>
          <w:tcPr>
            <w:tcW w:w="6559" w:type="dxa"/>
          </w:tcPr>
          <w:p w:rsidR="00DD5D76" w:rsidRPr="00E93DCC" w:rsidRDefault="00DD5D76" w:rsidP="00B05A70">
            <w:pPr>
              <w:rPr>
                <w:sz w:val="24"/>
                <w:szCs w:val="24"/>
              </w:rPr>
            </w:pPr>
            <w:r w:rsidRPr="00E93DCC">
              <w:rPr>
                <w:sz w:val="24"/>
                <w:szCs w:val="24"/>
              </w:rPr>
              <w:t>вільне володіння державною мовою</w:t>
            </w:r>
          </w:p>
        </w:tc>
      </w:tr>
    </w:tbl>
    <w:p w:rsidR="00DD5D76" w:rsidRDefault="00DD5D76" w:rsidP="009D3898">
      <w:bookmarkStart w:id="0" w:name="_GoBack"/>
      <w:bookmarkEnd w:id="0"/>
    </w:p>
    <w:sectPr w:rsidR="00DD5D76" w:rsidSect="009E2C64">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45915"/>
    <w:multiLevelType w:val="hybridMultilevel"/>
    <w:tmpl w:val="53F0A7DA"/>
    <w:lvl w:ilvl="0" w:tplc="8C52BB9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6A57D40"/>
    <w:multiLevelType w:val="hybridMultilevel"/>
    <w:tmpl w:val="1E74C842"/>
    <w:lvl w:ilvl="0" w:tplc="97B69622">
      <w:start w:val="1"/>
      <w:numFmt w:val="decimal"/>
      <w:lvlText w:val="%1)"/>
      <w:lvlJc w:val="left"/>
      <w:pPr>
        <w:tabs>
          <w:tab w:val="num" w:pos="1290"/>
        </w:tabs>
        <w:ind w:left="1290" w:hanging="585"/>
      </w:pPr>
      <w:rPr>
        <w:rFonts w:cs="Times New Roman" w:hint="default"/>
      </w:rPr>
    </w:lvl>
    <w:lvl w:ilvl="1" w:tplc="6A6E877A">
      <w:start w:val="12"/>
      <w:numFmt w:val="bullet"/>
      <w:lvlText w:val="-"/>
      <w:lvlJc w:val="left"/>
      <w:pPr>
        <w:tabs>
          <w:tab w:val="num" w:pos="1815"/>
        </w:tabs>
        <w:ind w:left="1815" w:hanging="390"/>
      </w:pPr>
      <w:rPr>
        <w:rFonts w:ascii="Times New Roman" w:eastAsia="Times New Roman" w:hAnsi="Times New Roman" w:hint="default"/>
      </w:rPr>
    </w:lvl>
    <w:lvl w:ilvl="2" w:tplc="AE18830C">
      <w:start w:val="1"/>
      <w:numFmt w:val="decimal"/>
      <w:lvlText w:val="%3)"/>
      <w:lvlJc w:val="left"/>
      <w:pPr>
        <w:tabs>
          <w:tab w:val="num" w:pos="2685"/>
        </w:tabs>
        <w:ind w:left="2685" w:hanging="360"/>
      </w:pPr>
      <w:rPr>
        <w:rFonts w:cs="Times New Roman" w:hint="default"/>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21667008"/>
    <w:multiLevelType w:val="hybridMultilevel"/>
    <w:tmpl w:val="BCA6AEC8"/>
    <w:lvl w:ilvl="0" w:tplc="AE18830C">
      <w:start w:val="1"/>
      <w:numFmt w:val="decimal"/>
      <w:lvlText w:val="%1)"/>
      <w:lvlJc w:val="left"/>
      <w:pPr>
        <w:tabs>
          <w:tab w:val="num" w:pos="1080"/>
        </w:tabs>
        <w:ind w:left="1080" w:hanging="360"/>
      </w:pPr>
      <w:rPr>
        <w:rFonts w:cs="Times New Roman" w:hint="default"/>
      </w:rPr>
    </w:lvl>
    <w:lvl w:ilvl="1" w:tplc="AE884A04">
      <w:start w:val="1"/>
      <w:numFmt w:val="decimal"/>
      <w:lvlText w:val="%2)"/>
      <w:lvlJc w:val="left"/>
      <w:pPr>
        <w:tabs>
          <w:tab w:val="num" w:pos="2340"/>
        </w:tabs>
        <w:ind w:left="2340" w:hanging="12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D0E7686"/>
    <w:multiLevelType w:val="hybridMultilevel"/>
    <w:tmpl w:val="1C208120"/>
    <w:lvl w:ilvl="0" w:tplc="8EE0A98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5BF6092"/>
    <w:multiLevelType w:val="hybridMultilevel"/>
    <w:tmpl w:val="DF5A072A"/>
    <w:lvl w:ilvl="0" w:tplc="AE18830C">
      <w:start w:val="1"/>
      <w:numFmt w:val="decimal"/>
      <w:lvlText w:val="%1)"/>
      <w:lvlJc w:val="left"/>
      <w:pPr>
        <w:tabs>
          <w:tab w:val="num" w:pos="1080"/>
        </w:tabs>
        <w:ind w:left="1080" w:hanging="360"/>
      </w:pPr>
      <w:rPr>
        <w:rFonts w:cs="Times New Roman" w:hint="default"/>
      </w:rPr>
    </w:lvl>
    <w:lvl w:ilvl="1" w:tplc="6A6E877A">
      <w:start w:val="12"/>
      <w:numFmt w:val="bullet"/>
      <w:lvlText w:val="-"/>
      <w:lvlJc w:val="left"/>
      <w:pPr>
        <w:tabs>
          <w:tab w:val="num" w:pos="1470"/>
        </w:tabs>
        <w:ind w:left="1470" w:hanging="39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14874D8"/>
    <w:multiLevelType w:val="hybridMultilevel"/>
    <w:tmpl w:val="BDBC89C4"/>
    <w:lvl w:ilvl="0" w:tplc="6A6E877A">
      <w:start w:val="12"/>
      <w:numFmt w:val="bullet"/>
      <w:lvlText w:val="-"/>
      <w:lvlJc w:val="left"/>
      <w:pPr>
        <w:tabs>
          <w:tab w:val="num" w:pos="1800"/>
        </w:tabs>
        <w:ind w:left="1800" w:hanging="390"/>
      </w:pPr>
      <w:rPr>
        <w:rFonts w:ascii="Times New Roman" w:eastAsia="Times New Roman" w:hAnsi="Times New Roman"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6">
    <w:nsid w:val="528E6727"/>
    <w:multiLevelType w:val="hybridMultilevel"/>
    <w:tmpl w:val="1F7C32DA"/>
    <w:lvl w:ilvl="0" w:tplc="917E3614">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9CF14E4"/>
    <w:multiLevelType w:val="hybridMultilevel"/>
    <w:tmpl w:val="2FBA828C"/>
    <w:lvl w:ilvl="0" w:tplc="AE18830C">
      <w:start w:val="1"/>
      <w:numFmt w:val="decimal"/>
      <w:lvlText w:val="%1)"/>
      <w:lvlJc w:val="left"/>
      <w:pPr>
        <w:tabs>
          <w:tab w:val="num" w:pos="1095"/>
        </w:tabs>
        <w:ind w:left="1095" w:hanging="360"/>
      </w:pPr>
      <w:rPr>
        <w:rFonts w:cs="Times New Roman" w:hint="default"/>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8">
    <w:nsid w:val="65D32E08"/>
    <w:multiLevelType w:val="hybridMultilevel"/>
    <w:tmpl w:val="F5B00A40"/>
    <w:lvl w:ilvl="0" w:tplc="70224E16">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6407E67"/>
    <w:multiLevelType w:val="hybridMultilevel"/>
    <w:tmpl w:val="FBB4E0B4"/>
    <w:lvl w:ilvl="0" w:tplc="AE18830C">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0">
    <w:nsid w:val="6A7C60A3"/>
    <w:multiLevelType w:val="hybridMultilevel"/>
    <w:tmpl w:val="1278FBB2"/>
    <w:lvl w:ilvl="0" w:tplc="62A02808">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nsid w:val="78396400"/>
    <w:multiLevelType w:val="hybridMultilevel"/>
    <w:tmpl w:val="2F66BD2C"/>
    <w:lvl w:ilvl="0" w:tplc="B5889B74">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9E22ED2"/>
    <w:multiLevelType w:val="hybridMultilevel"/>
    <w:tmpl w:val="F3F46004"/>
    <w:lvl w:ilvl="0" w:tplc="AE18830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1"/>
  </w:num>
  <w:num w:numId="4">
    <w:abstractNumId w:val="12"/>
  </w:num>
  <w:num w:numId="5">
    <w:abstractNumId w:val="4"/>
  </w:num>
  <w:num w:numId="6">
    <w:abstractNumId w:val="9"/>
  </w:num>
  <w:num w:numId="7">
    <w:abstractNumId w:val="7"/>
  </w:num>
  <w:num w:numId="8">
    <w:abstractNumId w:val="11"/>
  </w:num>
  <w:num w:numId="9">
    <w:abstractNumId w:val="8"/>
  </w:num>
  <w:num w:numId="10">
    <w:abstractNumId w:val="6"/>
  </w:num>
  <w:num w:numId="11">
    <w:abstractNumId w:val="0"/>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50A"/>
    <w:rsid w:val="0003128B"/>
    <w:rsid w:val="000425FE"/>
    <w:rsid w:val="000E4068"/>
    <w:rsid w:val="000F3990"/>
    <w:rsid w:val="000F4E6B"/>
    <w:rsid w:val="000F5A36"/>
    <w:rsid w:val="000F5EBC"/>
    <w:rsid w:val="0012302A"/>
    <w:rsid w:val="00130817"/>
    <w:rsid w:val="001672C2"/>
    <w:rsid w:val="00192310"/>
    <w:rsid w:val="00197B5B"/>
    <w:rsid w:val="001C32D3"/>
    <w:rsid w:val="00202157"/>
    <w:rsid w:val="00224859"/>
    <w:rsid w:val="00243317"/>
    <w:rsid w:val="002F074F"/>
    <w:rsid w:val="00300A2F"/>
    <w:rsid w:val="00314FF7"/>
    <w:rsid w:val="00316834"/>
    <w:rsid w:val="003864B0"/>
    <w:rsid w:val="003A1F4B"/>
    <w:rsid w:val="003A400D"/>
    <w:rsid w:val="003C4E60"/>
    <w:rsid w:val="003F1187"/>
    <w:rsid w:val="00425A9A"/>
    <w:rsid w:val="00441FF4"/>
    <w:rsid w:val="0044443F"/>
    <w:rsid w:val="00473229"/>
    <w:rsid w:val="004B7CA7"/>
    <w:rsid w:val="004D109C"/>
    <w:rsid w:val="00514C63"/>
    <w:rsid w:val="00542388"/>
    <w:rsid w:val="00563268"/>
    <w:rsid w:val="005937B9"/>
    <w:rsid w:val="005B337E"/>
    <w:rsid w:val="005D1F99"/>
    <w:rsid w:val="005D6DCB"/>
    <w:rsid w:val="005D7330"/>
    <w:rsid w:val="00667E32"/>
    <w:rsid w:val="00673359"/>
    <w:rsid w:val="0068161A"/>
    <w:rsid w:val="00686363"/>
    <w:rsid w:val="006D2281"/>
    <w:rsid w:val="006D502F"/>
    <w:rsid w:val="006E053E"/>
    <w:rsid w:val="006F2197"/>
    <w:rsid w:val="006F64F3"/>
    <w:rsid w:val="0070169C"/>
    <w:rsid w:val="007023AC"/>
    <w:rsid w:val="00720C08"/>
    <w:rsid w:val="00720F60"/>
    <w:rsid w:val="0073143C"/>
    <w:rsid w:val="0073410D"/>
    <w:rsid w:val="007677C6"/>
    <w:rsid w:val="0078738F"/>
    <w:rsid w:val="007C1952"/>
    <w:rsid w:val="007E051D"/>
    <w:rsid w:val="0082658A"/>
    <w:rsid w:val="00881EA3"/>
    <w:rsid w:val="00887A9B"/>
    <w:rsid w:val="008C6841"/>
    <w:rsid w:val="008E59DC"/>
    <w:rsid w:val="009234A4"/>
    <w:rsid w:val="00946908"/>
    <w:rsid w:val="00965443"/>
    <w:rsid w:val="0097534C"/>
    <w:rsid w:val="00975D3F"/>
    <w:rsid w:val="00994761"/>
    <w:rsid w:val="009D3898"/>
    <w:rsid w:val="009E2C64"/>
    <w:rsid w:val="00A26C8B"/>
    <w:rsid w:val="00A3350A"/>
    <w:rsid w:val="00A96475"/>
    <w:rsid w:val="00AA2D42"/>
    <w:rsid w:val="00AE096C"/>
    <w:rsid w:val="00AE3BD8"/>
    <w:rsid w:val="00B05A70"/>
    <w:rsid w:val="00B75E6C"/>
    <w:rsid w:val="00BD3F61"/>
    <w:rsid w:val="00C01A78"/>
    <w:rsid w:val="00C04C60"/>
    <w:rsid w:val="00C1475E"/>
    <w:rsid w:val="00C244A0"/>
    <w:rsid w:val="00C30760"/>
    <w:rsid w:val="00C6190D"/>
    <w:rsid w:val="00CE1BDF"/>
    <w:rsid w:val="00D1035C"/>
    <w:rsid w:val="00D10FF6"/>
    <w:rsid w:val="00D46C22"/>
    <w:rsid w:val="00D66BF9"/>
    <w:rsid w:val="00DA09B7"/>
    <w:rsid w:val="00DC24E5"/>
    <w:rsid w:val="00DD53F8"/>
    <w:rsid w:val="00DD5D76"/>
    <w:rsid w:val="00E226A6"/>
    <w:rsid w:val="00E30825"/>
    <w:rsid w:val="00E93DCC"/>
    <w:rsid w:val="00EA24A4"/>
    <w:rsid w:val="00EA6D9C"/>
    <w:rsid w:val="00EA6F94"/>
    <w:rsid w:val="00F0226E"/>
    <w:rsid w:val="00F14B80"/>
    <w:rsid w:val="00F21191"/>
    <w:rsid w:val="00F56B6D"/>
    <w:rsid w:val="00F65E0D"/>
    <w:rsid w:val="00FB175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0A"/>
    <w:pPr>
      <w:jc w:val="both"/>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13pt">
    <w:name w:val="Основной текст (2) + 13 pt"/>
    <w:aliases w:val="Не полужирный"/>
    <w:uiPriority w:val="99"/>
    <w:rsid w:val="00A3350A"/>
    <w:rPr>
      <w:rFonts w:ascii="Times New Roman" w:hAnsi="Times New Roman"/>
      <w:b/>
      <w:color w:val="000000"/>
      <w:spacing w:val="0"/>
      <w:w w:val="100"/>
      <w:position w:val="0"/>
      <w:sz w:val="26"/>
      <w:u w:val="none"/>
      <w:shd w:val="clear" w:color="auto" w:fill="FFFFFF"/>
      <w:lang w:val="uk-UA" w:eastAsia="uk-UA"/>
    </w:rPr>
  </w:style>
  <w:style w:type="paragraph" w:customStyle="1" w:styleId="1">
    <w:name w:val="Абзац списку1"/>
    <w:basedOn w:val="Normal"/>
    <w:uiPriority w:val="99"/>
    <w:rsid w:val="0044443F"/>
    <w:pPr>
      <w:spacing w:after="200" w:line="276" w:lineRule="auto"/>
      <w:ind w:left="720"/>
      <w:contextualSpacing/>
      <w:jc w:val="left"/>
    </w:pPr>
    <w:rPr>
      <w:rFonts w:ascii="Calibri" w:eastAsia="Times New Roman" w:hAnsi="Calibri"/>
      <w:sz w:val="22"/>
      <w:lang w:val="ru-RU" w:eastAsia="ru-RU"/>
    </w:rPr>
  </w:style>
  <w:style w:type="character" w:customStyle="1" w:styleId="a">
    <w:name w:val="Основной текст_"/>
    <w:link w:val="2"/>
    <w:uiPriority w:val="99"/>
    <w:locked/>
    <w:rsid w:val="0044443F"/>
    <w:rPr>
      <w:sz w:val="26"/>
      <w:shd w:val="clear" w:color="auto" w:fill="FFFFFF"/>
    </w:rPr>
  </w:style>
  <w:style w:type="character" w:customStyle="1" w:styleId="3">
    <w:name w:val="Основной текст (3)_"/>
    <w:link w:val="30"/>
    <w:uiPriority w:val="99"/>
    <w:locked/>
    <w:rsid w:val="0044443F"/>
    <w:rPr>
      <w:b/>
      <w:i/>
      <w:sz w:val="26"/>
      <w:shd w:val="clear" w:color="auto" w:fill="FFFFFF"/>
    </w:rPr>
  </w:style>
  <w:style w:type="character" w:customStyle="1" w:styleId="a0">
    <w:name w:val="Основной текст + Полужирный"/>
    <w:aliases w:val="Курсив"/>
    <w:uiPriority w:val="99"/>
    <w:rsid w:val="0044443F"/>
    <w:rPr>
      <w:b/>
      <w:i/>
      <w:color w:val="000000"/>
      <w:spacing w:val="0"/>
      <w:w w:val="100"/>
      <w:position w:val="0"/>
      <w:sz w:val="26"/>
      <w:shd w:val="clear" w:color="auto" w:fill="FFFFFF"/>
      <w:lang w:val="uk-UA"/>
    </w:rPr>
  </w:style>
  <w:style w:type="paragraph" w:customStyle="1" w:styleId="2">
    <w:name w:val="Основной текст2"/>
    <w:basedOn w:val="Normal"/>
    <w:link w:val="a"/>
    <w:uiPriority w:val="99"/>
    <w:rsid w:val="0044443F"/>
    <w:pPr>
      <w:widowControl w:val="0"/>
      <w:shd w:val="clear" w:color="auto" w:fill="FFFFFF"/>
      <w:spacing w:before="180" w:after="420" w:line="307" w:lineRule="exact"/>
    </w:pPr>
    <w:rPr>
      <w:rFonts w:ascii="Calibri" w:hAnsi="Calibri"/>
      <w:sz w:val="26"/>
      <w:szCs w:val="20"/>
      <w:shd w:val="clear" w:color="auto" w:fill="FFFFFF"/>
      <w:lang w:eastAsia="uk-UA"/>
    </w:rPr>
  </w:style>
  <w:style w:type="paragraph" w:customStyle="1" w:styleId="30">
    <w:name w:val="Основной текст (3)"/>
    <w:basedOn w:val="Normal"/>
    <w:link w:val="3"/>
    <w:uiPriority w:val="99"/>
    <w:rsid w:val="0044443F"/>
    <w:pPr>
      <w:widowControl w:val="0"/>
      <w:shd w:val="clear" w:color="auto" w:fill="FFFFFF"/>
      <w:spacing w:line="374" w:lineRule="exact"/>
    </w:pPr>
    <w:rPr>
      <w:rFonts w:ascii="Calibri" w:hAnsi="Calibri"/>
      <w:b/>
      <w:i/>
      <w:sz w:val="26"/>
      <w:szCs w:val="20"/>
      <w:shd w:val="clear" w:color="auto" w:fill="FFFFFF"/>
      <w:lang w:eastAsia="uk-UA"/>
    </w:rPr>
  </w:style>
  <w:style w:type="paragraph" w:customStyle="1" w:styleId="20">
    <w:name w:val="Абзац списку2"/>
    <w:basedOn w:val="Normal"/>
    <w:uiPriority w:val="99"/>
    <w:rsid w:val="00130817"/>
    <w:pPr>
      <w:spacing w:after="200" w:line="276" w:lineRule="auto"/>
      <w:ind w:left="720"/>
      <w:contextualSpacing/>
      <w:jc w:val="left"/>
    </w:pPr>
    <w:rPr>
      <w:rFonts w:ascii="Calibri" w:eastAsia="Times New Roman" w:hAnsi="Calibri"/>
      <w:sz w:val="22"/>
      <w:lang w:val="ru-RU" w:eastAsia="ru-RU"/>
    </w:rPr>
  </w:style>
  <w:style w:type="character" w:customStyle="1" w:styleId="FontStyle16">
    <w:name w:val="Font Style16"/>
    <w:uiPriority w:val="99"/>
    <w:rsid w:val="00DD53F8"/>
    <w:rPr>
      <w:rFonts w:ascii="Times New Roman" w:hAnsi="Times New Roman"/>
      <w:sz w:val="28"/>
    </w:rPr>
  </w:style>
  <w:style w:type="paragraph" w:styleId="BodyText">
    <w:name w:val="Body Text"/>
    <w:basedOn w:val="Normal"/>
    <w:link w:val="BodyTextChar"/>
    <w:uiPriority w:val="99"/>
    <w:rsid w:val="000E4068"/>
    <w:pPr>
      <w:spacing w:after="120"/>
      <w:jc w:val="left"/>
    </w:pPr>
    <w:rPr>
      <w:rFonts w:eastAsia="Times New Roman"/>
      <w:sz w:val="24"/>
      <w:szCs w:val="24"/>
    </w:rPr>
  </w:style>
  <w:style w:type="character" w:customStyle="1" w:styleId="BodyTextChar">
    <w:name w:val="Body Text Char"/>
    <w:basedOn w:val="DefaultParagraphFont"/>
    <w:link w:val="BodyText"/>
    <w:uiPriority w:val="99"/>
    <w:locked/>
    <w:rsid w:val="000E406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2461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3517</Words>
  <Characters>2005</Characters>
  <Application>Microsoft Office Outlook</Application>
  <DocSecurity>0</DocSecurity>
  <Lines>0</Lines>
  <Paragraphs>0</Paragraphs>
  <ScaleCrop>false</ScaleCrop>
  <Company>TTR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1</dc:title>
  <dc:subject/>
  <dc:creator>User</dc:creator>
  <cp:keywords/>
  <dc:description/>
  <cp:lastModifiedBy>work</cp:lastModifiedBy>
  <cp:revision>5</cp:revision>
  <cp:lastPrinted>2020-10-02T10:19:00Z</cp:lastPrinted>
  <dcterms:created xsi:type="dcterms:W3CDTF">2020-09-30T12:05:00Z</dcterms:created>
  <dcterms:modified xsi:type="dcterms:W3CDTF">2020-10-02T10:23:00Z</dcterms:modified>
</cp:coreProperties>
</file>