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A" w:rsidRDefault="00AA170C" w:rsidP="00FA6FBF">
      <w:pPr>
        <w:ind w:left="3972" w:firstLine="708"/>
        <w:rPr>
          <w:sz w:val="24"/>
        </w:rPr>
      </w:pPr>
      <w:r>
        <w:rPr>
          <w:sz w:val="24"/>
        </w:rPr>
        <w:t xml:space="preserve"> Додаток 5</w:t>
      </w:r>
    </w:p>
    <w:p w:rsidR="00A3350A" w:rsidRDefault="00A3350A" w:rsidP="00A3350A">
      <w:pPr>
        <w:ind w:left="4680"/>
        <w:rPr>
          <w:sz w:val="24"/>
        </w:rPr>
      </w:pPr>
      <w:r>
        <w:rPr>
          <w:sz w:val="24"/>
        </w:rPr>
        <w:t xml:space="preserve"> </w:t>
      </w:r>
    </w:p>
    <w:p w:rsidR="00A3350A" w:rsidRDefault="00A3350A" w:rsidP="00A3350A">
      <w:pPr>
        <w:ind w:left="4680"/>
        <w:rPr>
          <w:sz w:val="24"/>
        </w:rPr>
      </w:pPr>
      <w:r>
        <w:rPr>
          <w:sz w:val="24"/>
        </w:rPr>
        <w:t xml:space="preserve"> ЗАТВЕРДЖЕНО</w:t>
      </w:r>
    </w:p>
    <w:p w:rsidR="00FA6FBF" w:rsidRDefault="00A3350A" w:rsidP="00A3350A">
      <w:pPr>
        <w:ind w:left="4680"/>
        <w:rPr>
          <w:sz w:val="24"/>
        </w:rPr>
      </w:pPr>
      <w:r w:rsidRPr="005D7330">
        <w:rPr>
          <w:sz w:val="24"/>
        </w:rPr>
        <w:t xml:space="preserve"> наказ</w:t>
      </w:r>
      <w:r>
        <w:rPr>
          <w:sz w:val="24"/>
        </w:rPr>
        <w:t>ом</w:t>
      </w:r>
      <w:r w:rsidRPr="005D7330">
        <w:rPr>
          <w:sz w:val="24"/>
        </w:rPr>
        <w:t xml:space="preserve"> </w:t>
      </w:r>
      <w:r w:rsidR="00FA6FBF">
        <w:rPr>
          <w:sz w:val="24"/>
        </w:rPr>
        <w:t xml:space="preserve">керівника Черкаської обласної </w:t>
      </w:r>
    </w:p>
    <w:p w:rsidR="00A3350A" w:rsidRPr="005D7330" w:rsidRDefault="00FA6FBF" w:rsidP="00A3350A">
      <w:pPr>
        <w:ind w:left="4680"/>
        <w:rPr>
          <w:sz w:val="24"/>
        </w:rPr>
      </w:pPr>
      <w:r>
        <w:rPr>
          <w:sz w:val="24"/>
        </w:rPr>
        <w:t xml:space="preserve"> прокуратури  </w:t>
      </w:r>
    </w:p>
    <w:p w:rsidR="00A3350A" w:rsidRDefault="00FA6FBF" w:rsidP="00395233">
      <w:pPr>
        <w:ind w:left="4680"/>
        <w:rPr>
          <w:sz w:val="24"/>
        </w:rPr>
      </w:pPr>
      <w:r>
        <w:rPr>
          <w:sz w:val="24"/>
        </w:rPr>
        <w:t xml:space="preserve"> від 15 вересня</w:t>
      </w:r>
      <w:r w:rsidR="00A3350A">
        <w:rPr>
          <w:sz w:val="24"/>
        </w:rPr>
        <w:t xml:space="preserve"> 2020 року № </w:t>
      </w:r>
      <w:r>
        <w:rPr>
          <w:sz w:val="24"/>
        </w:rPr>
        <w:t>421</w:t>
      </w:r>
      <w:r w:rsidR="00395233">
        <w:rPr>
          <w:sz w:val="24"/>
        </w:rPr>
        <w:t xml:space="preserve"> к</w:t>
      </w:r>
    </w:p>
    <w:p w:rsidR="00CE1BDF" w:rsidRDefault="00CE1BDF" w:rsidP="009E3E15">
      <w:pPr>
        <w:rPr>
          <w:b/>
          <w:sz w:val="24"/>
        </w:rPr>
      </w:pPr>
    </w:p>
    <w:p w:rsidR="009E3E15" w:rsidRDefault="009E3E15" w:rsidP="00A3350A">
      <w:pPr>
        <w:jc w:val="center"/>
        <w:rPr>
          <w:b/>
          <w:sz w:val="24"/>
        </w:rPr>
      </w:pPr>
    </w:p>
    <w:p w:rsidR="003F1187" w:rsidRDefault="003F1187" w:rsidP="00A3350A">
      <w:pPr>
        <w:jc w:val="center"/>
        <w:rPr>
          <w:b/>
          <w:sz w:val="24"/>
          <w:lang w:val="ru-RU"/>
        </w:rPr>
      </w:pPr>
      <w:r>
        <w:rPr>
          <w:b/>
          <w:sz w:val="24"/>
          <w:lang w:val="ru-RU"/>
        </w:rPr>
        <w:t xml:space="preserve">ОГОЛОШЕННЯ </w:t>
      </w:r>
    </w:p>
    <w:p w:rsidR="00A3350A" w:rsidRDefault="003F1187" w:rsidP="00FA6FBF">
      <w:pPr>
        <w:jc w:val="center"/>
        <w:rPr>
          <w:b/>
          <w:sz w:val="24"/>
          <w:szCs w:val="24"/>
          <w:lang w:eastAsia="uk-UA"/>
        </w:rPr>
      </w:pPr>
      <w:r>
        <w:rPr>
          <w:b/>
          <w:sz w:val="24"/>
        </w:rPr>
        <w:t>п</w:t>
      </w:r>
      <w:r w:rsidRPr="003F1187">
        <w:rPr>
          <w:b/>
          <w:sz w:val="24"/>
        </w:rPr>
        <w:t xml:space="preserve">ро добір </w:t>
      </w:r>
      <w:r w:rsidR="00FA6FBF">
        <w:rPr>
          <w:b/>
          <w:sz w:val="24"/>
        </w:rPr>
        <w:t xml:space="preserve">на період карантину </w:t>
      </w:r>
    </w:p>
    <w:p w:rsidR="00A3350A" w:rsidRDefault="00A3350A" w:rsidP="00A3350A">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595"/>
        <w:gridCol w:w="60"/>
        <w:gridCol w:w="6701"/>
      </w:tblGrid>
      <w:tr w:rsidR="00FA6FBF" w:rsidTr="00AA170C">
        <w:trPr>
          <w:trHeight w:val="810"/>
        </w:trPr>
        <w:tc>
          <w:tcPr>
            <w:tcW w:w="3270" w:type="dxa"/>
            <w:gridSpan w:val="2"/>
          </w:tcPr>
          <w:p w:rsidR="00FA6FBF" w:rsidRDefault="00FA6FBF" w:rsidP="00AA170C">
            <w:pPr>
              <w:jc w:val="left"/>
              <w:rPr>
                <w:b/>
                <w:sz w:val="24"/>
                <w:szCs w:val="24"/>
              </w:rPr>
            </w:pPr>
            <w:r w:rsidRPr="006F2197">
              <w:rPr>
                <w:sz w:val="24"/>
                <w:szCs w:val="24"/>
                <w:lang w:eastAsia="uk-UA"/>
              </w:rPr>
              <w:t>Назва та категорія посади, стосовно якої прийнято рішення про необхідність призначення</w:t>
            </w:r>
          </w:p>
        </w:tc>
        <w:tc>
          <w:tcPr>
            <w:tcW w:w="6761" w:type="dxa"/>
            <w:gridSpan w:val="2"/>
          </w:tcPr>
          <w:p w:rsidR="00FA6FBF" w:rsidRPr="00FA6FBF" w:rsidRDefault="009E3E15" w:rsidP="00B1617C">
            <w:pPr>
              <w:pStyle w:val="3"/>
              <w:spacing w:before="0" w:beforeAutospacing="0" w:after="0" w:afterAutospacing="0"/>
              <w:jc w:val="both"/>
              <w:rPr>
                <w:b w:val="0"/>
                <w:color w:val="000000"/>
                <w:sz w:val="24"/>
                <w:szCs w:val="24"/>
                <w:lang w:val="uk-UA"/>
              </w:rPr>
            </w:pPr>
            <w:r>
              <w:rPr>
                <w:b w:val="0"/>
                <w:sz w:val="24"/>
                <w:szCs w:val="24"/>
                <w:lang w:val="uk-UA" w:eastAsia="uk-UA"/>
              </w:rPr>
              <w:t>головний спеціаліст</w:t>
            </w:r>
            <w:r w:rsidR="00FA6FBF" w:rsidRPr="00FA6FBF">
              <w:rPr>
                <w:b w:val="0"/>
                <w:sz w:val="24"/>
                <w:szCs w:val="24"/>
                <w:lang w:val="uk-UA" w:eastAsia="uk-UA"/>
              </w:rPr>
              <w:t xml:space="preserve"> відділу </w:t>
            </w:r>
            <w:r w:rsidR="00AA170C">
              <w:rPr>
                <w:b w:val="0"/>
                <w:sz w:val="24"/>
                <w:szCs w:val="24"/>
                <w:lang w:val="uk-UA" w:eastAsia="uk-UA"/>
              </w:rPr>
              <w:t xml:space="preserve">кадрової роботи та державної служби </w:t>
            </w:r>
            <w:r w:rsidR="00FA6FBF" w:rsidRPr="00FA6FBF">
              <w:rPr>
                <w:b w:val="0"/>
                <w:color w:val="000000"/>
                <w:sz w:val="24"/>
                <w:szCs w:val="24"/>
                <w:lang w:val="uk-UA"/>
              </w:rPr>
              <w:t>Черкаської обласної прокуратури</w:t>
            </w:r>
            <w:bookmarkStart w:id="0" w:name="144"/>
            <w:bookmarkEnd w:id="0"/>
            <w:r w:rsidR="00FA6FBF">
              <w:rPr>
                <w:b w:val="0"/>
                <w:color w:val="000000"/>
                <w:sz w:val="24"/>
                <w:szCs w:val="24"/>
                <w:lang w:val="uk-UA"/>
              </w:rPr>
              <w:t xml:space="preserve"> (категорія «В»)</w:t>
            </w:r>
          </w:p>
          <w:p w:rsidR="00FA6FBF" w:rsidRDefault="00FA6FBF" w:rsidP="00FA6FBF">
            <w:pPr>
              <w:jc w:val="left"/>
              <w:rPr>
                <w:b/>
                <w:sz w:val="24"/>
                <w:szCs w:val="24"/>
                <w:lang w:eastAsia="uk-UA"/>
              </w:rPr>
            </w:pPr>
          </w:p>
        </w:tc>
      </w:tr>
      <w:tr w:rsidR="00A3350A" w:rsidRPr="00FB1754" w:rsidTr="00AA170C">
        <w:tblPrEx>
          <w:tblLook w:val="00A0"/>
        </w:tblPrEx>
        <w:tc>
          <w:tcPr>
            <w:tcW w:w="10031" w:type="dxa"/>
            <w:gridSpan w:val="4"/>
            <w:vAlign w:val="center"/>
          </w:tcPr>
          <w:p w:rsidR="00A3350A" w:rsidRPr="00FB1754" w:rsidRDefault="00A3350A" w:rsidP="00B05A70">
            <w:pPr>
              <w:jc w:val="center"/>
              <w:rPr>
                <w:b/>
                <w:sz w:val="24"/>
              </w:rPr>
            </w:pPr>
            <w:r w:rsidRPr="00FB1754">
              <w:rPr>
                <w:b/>
                <w:sz w:val="24"/>
              </w:rPr>
              <w:t>Загальні умови</w:t>
            </w:r>
          </w:p>
          <w:p w:rsidR="00A3350A" w:rsidRPr="00FB1754" w:rsidRDefault="00A3350A" w:rsidP="00B05A70">
            <w:pPr>
              <w:jc w:val="center"/>
              <w:rPr>
                <w:b/>
                <w:sz w:val="12"/>
                <w:szCs w:val="12"/>
              </w:rPr>
            </w:pPr>
          </w:p>
        </w:tc>
      </w:tr>
      <w:tr w:rsidR="00FA6FBF" w:rsidRPr="00FB1754" w:rsidTr="00AA170C">
        <w:tblPrEx>
          <w:tblLook w:val="00A0"/>
        </w:tblPrEx>
        <w:trPr>
          <w:trHeight w:val="956"/>
        </w:trPr>
        <w:tc>
          <w:tcPr>
            <w:tcW w:w="3330" w:type="dxa"/>
            <w:gridSpan w:val="3"/>
          </w:tcPr>
          <w:p w:rsidR="00FA6FBF" w:rsidRPr="00E93DCC" w:rsidRDefault="00FA6FBF" w:rsidP="00B05A70">
            <w:pPr>
              <w:rPr>
                <w:sz w:val="24"/>
                <w:szCs w:val="24"/>
              </w:rPr>
            </w:pPr>
            <w:r w:rsidRPr="00E93DCC">
              <w:rPr>
                <w:sz w:val="24"/>
                <w:szCs w:val="24"/>
              </w:rPr>
              <w:t>Посадові обов’язки</w:t>
            </w:r>
          </w:p>
        </w:tc>
        <w:tc>
          <w:tcPr>
            <w:tcW w:w="6701" w:type="dxa"/>
          </w:tcPr>
          <w:p w:rsidR="00AA170C" w:rsidRDefault="00FA6FBF"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color w:val="000000"/>
                <w:sz w:val="24"/>
                <w:szCs w:val="24"/>
              </w:rPr>
              <w:t xml:space="preserve">- </w:t>
            </w:r>
            <w:r w:rsidR="0069346A">
              <w:rPr>
                <w:rFonts w:ascii="Times New Roman" w:hAnsi="Times New Roman" w:cs="Times New Roman"/>
                <w:b w:val="0"/>
                <w:i w:val="0"/>
                <w:sz w:val="24"/>
                <w:szCs w:val="24"/>
              </w:rPr>
              <w:t>в</w:t>
            </w:r>
            <w:r w:rsidR="0069346A" w:rsidRPr="0069346A">
              <w:rPr>
                <w:rFonts w:ascii="Times New Roman" w:hAnsi="Times New Roman" w:cs="Times New Roman"/>
                <w:b w:val="0"/>
                <w:i w:val="0"/>
                <w:sz w:val="24"/>
                <w:szCs w:val="24"/>
              </w:rPr>
              <w:t>едення діловодства у відділі  кадрової роботи та державної служби. Реєстрація вхідної, вихідної та внутрішньої кореспонденції, у тому числі інформаційній системі «Система електронного документообігу органів прокуратури України» та у відповідних книгах обліку, забезпечення обліку передачі та руху документів за призначенням, ведення реєстрів передачі документів оперативним працівникам</w:t>
            </w:r>
            <w:r w:rsidR="0069346A">
              <w:rPr>
                <w:rFonts w:ascii="Times New Roman" w:hAnsi="Times New Roman" w:cs="Times New Roman"/>
                <w:b w:val="0"/>
                <w:i w:val="0"/>
                <w:sz w:val="24"/>
                <w:szCs w:val="24"/>
              </w:rPr>
              <w:t>;</w:t>
            </w:r>
          </w:p>
          <w:p w:rsidR="0069346A" w:rsidRDefault="0069346A"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ф</w:t>
            </w:r>
            <w:r w:rsidRPr="0069346A">
              <w:rPr>
                <w:rFonts w:ascii="Times New Roman" w:hAnsi="Times New Roman" w:cs="Times New Roman"/>
                <w:b w:val="0"/>
                <w:i w:val="0"/>
                <w:sz w:val="24"/>
                <w:szCs w:val="24"/>
              </w:rPr>
              <w:t>ормування і ведення особових справ державних службовців, робітників та працівників, які виконують функції з обслу</w:t>
            </w:r>
            <w:r w:rsidR="009E3E15">
              <w:rPr>
                <w:rFonts w:ascii="Times New Roman" w:hAnsi="Times New Roman" w:cs="Times New Roman"/>
                <w:b w:val="0"/>
                <w:i w:val="0"/>
                <w:sz w:val="24"/>
                <w:szCs w:val="24"/>
              </w:rPr>
              <w:t>говування, обласної прокуратури</w:t>
            </w:r>
            <w:r w:rsidRPr="0069346A">
              <w:rPr>
                <w:rFonts w:ascii="Times New Roman" w:hAnsi="Times New Roman" w:cs="Times New Roman"/>
                <w:b w:val="0"/>
                <w:i w:val="0"/>
                <w:sz w:val="24"/>
                <w:szCs w:val="24"/>
              </w:rPr>
              <w:t xml:space="preserve"> з дотриманням вимог законодавства у сфері захисту персональних даних. Ведення алфавітної картотеки та книги обліку особових справ працівників, які виконують функції з обслуговування</w:t>
            </w:r>
            <w:r>
              <w:rPr>
                <w:rFonts w:ascii="Times New Roman" w:hAnsi="Times New Roman" w:cs="Times New Roman"/>
                <w:b w:val="0"/>
                <w:i w:val="0"/>
                <w:sz w:val="24"/>
                <w:szCs w:val="24"/>
              </w:rPr>
              <w:t>;</w:t>
            </w:r>
          </w:p>
          <w:p w:rsidR="0069346A" w:rsidRDefault="0069346A"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в</w:t>
            </w:r>
            <w:r w:rsidRPr="0069346A">
              <w:rPr>
                <w:rFonts w:ascii="Times New Roman" w:hAnsi="Times New Roman" w:cs="Times New Roman"/>
                <w:b w:val="0"/>
                <w:i w:val="0"/>
                <w:sz w:val="24"/>
                <w:szCs w:val="24"/>
              </w:rPr>
              <w:t>едення обліку трудових книжок державних службовців, робітників та працівників, які виконують функції з обслуговування, обласної прокуратури, забезпечення внесення записів про роботу, заохочення та нагородження</w:t>
            </w:r>
            <w:r>
              <w:rPr>
                <w:rFonts w:ascii="Times New Roman" w:hAnsi="Times New Roman" w:cs="Times New Roman"/>
                <w:b w:val="0"/>
                <w:i w:val="0"/>
                <w:sz w:val="24"/>
                <w:szCs w:val="24"/>
              </w:rPr>
              <w:t>;</w:t>
            </w:r>
          </w:p>
          <w:p w:rsidR="0069346A" w:rsidRDefault="0069346A"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з</w:t>
            </w:r>
            <w:r w:rsidRPr="0069346A">
              <w:rPr>
                <w:rFonts w:ascii="Times New Roman" w:hAnsi="Times New Roman" w:cs="Times New Roman"/>
                <w:b w:val="0"/>
                <w:i w:val="0"/>
                <w:sz w:val="24"/>
                <w:szCs w:val="24"/>
              </w:rPr>
              <w:t>дійснення підготовки проектів наказів про призначення, переміщення, звільнення працівників, надання відпусток працівникам органів прокуратури, облік надання відпусток працівникам відповідно до графіку, ведення картотеки обліку та книги обліку наказів про надання відпусток</w:t>
            </w:r>
            <w:r>
              <w:rPr>
                <w:rFonts w:ascii="Times New Roman" w:hAnsi="Times New Roman" w:cs="Times New Roman"/>
                <w:b w:val="0"/>
                <w:i w:val="0"/>
                <w:sz w:val="24"/>
                <w:szCs w:val="24"/>
              </w:rPr>
              <w:t>;</w:t>
            </w:r>
          </w:p>
          <w:p w:rsidR="0069346A" w:rsidRDefault="0069346A"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w:t>
            </w:r>
            <w:r w:rsidRPr="009568D0">
              <w:t xml:space="preserve"> </w:t>
            </w:r>
            <w:r>
              <w:rPr>
                <w:rFonts w:ascii="Times New Roman" w:hAnsi="Times New Roman" w:cs="Times New Roman"/>
                <w:b w:val="0"/>
                <w:i w:val="0"/>
                <w:sz w:val="24"/>
                <w:szCs w:val="24"/>
              </w:rPr>
              <w:t>в</w:t>
            </w:r>
            <w:r w:rsidRPr="0069346A">
              <w:rPr>
                <w:rFonts w:ascii="Times New Roman" w:hAnsi="Times New Roman" w:cs="Times New Roman"/>
                <w:b w:val="0"/>
                <w:i w:val="0"/>
                <w:sz w:val="24"/>
                <w:szCs w:val="24"/>
              </w:rPr>
              <w:t xml:space="preserve">едення обліку прийнятих, звільнених, переміщених працівників, контрольного списку прокурорських працівників органів обласної прокуратури. Забезпечення роботи та контрольного стану </w:t>
            </w:r>
            <w:r w:rsidRPr="0069346A">
              <w:rPr>
                <w:rFonts w:ascii="Times New Roman" w:hAnsi="Times New Roman" w:cs="Times New Roman"/>
                <w:b w:val="0"/>
                <w:i w:val="0"/>
                <w:sz w:val="24"/>
                <w:szCs w:val="24"/>
                <w:lang w:val="en-US"/>
              </w:rPr>
              <w:t>WEB</w:t>
            </w:r>
            <w:proofErr w:type="spellStart"/>
            <w:r w:rsidRPr="0069346A">
              <w:rPr>
                <w:rFonts w:ascii="Times New Roman" w:hAnsi="Times New Roman" w:cs="Times New Roman"/>
                <w:b w:val="0"/>
                <w:i w:val="0"/>
                <w:sz w:val="24"/>
                <w:szCs w:val="24"/>
              </w:rPr>
              <w:t>-версії</w:t>
            </w:r>
            <w:proofErr w:type="spellEnd"/>
            <w:r w:rsidRPr="0069346A">
              <w:rPr>
                <w:rFonts w:ascii="Times New Roman" w:hAnsi="Times New Roman" w:cs="Times New Roman"/>
                <w:b w:val="0"/>
                <w:i w:val="0"/>
                <w:sz w:val="24"/>
                <w:szCs w:val="24"/>
              </w:rPr>
              <w:t xml:space="preserve"> автоматизованої інформаційно-аналітичної системи «Кадри». Ведення в електронному вигляді затвердженої форми Особо</w:t>
            </w:r>
            <w:r w:rsidR="00133614">
              <w:rPr>
                <w:rFonts w:ascii="Times New Roman" w:hAnsi="Times New Roman" w:cs="Times New Roman"/>
                <w:b w:val="0"/>
                <w:i w:val="0"/>
                <w:sz w:val="24"/>
                <w:szCs w:val="24"/>
              </w:rPr>
              <w:t xml:space="preserve">вої картки державних службовців </w:t>
            </w:r>
            <w:r w:rsidRPr="0069346A">
              <w:rPr>
                <w:rFonts w:ascii="Times New Roman" w:hAnsi="Times New Roman" w:cs="Times New Roman"/>
                <w:b w:val="0"/>
                <w:i w:val="0"/>
                <w:sz w:val="24"/>
                <w:szCs w:val="24"/>
              </w:rPr>
              <w:t>обласної прокуратури</w:t>
            </w:r>
            <w:r>
              <w:rPr>
                <w:rFonts w:ascii="Times New Roman" w:hAnsi="Times New Roman" w:cs="Times New Roman"/>
                <w:b w:val="0"/>
                <w:i w:val="0"/>
                <w:sz w:val="24"/>
                <w:szCs w:val="24"/>
              </w:rPr>
              <w:t>;</w:t>
            </w:r>
          </w:p>
          <w:p w:rsidR="0069346A" w:rsidRDefault="0069346A"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о</w:t>
            </w:r>
            <w:r w:rsidRPr="0069346A">
              <w:rPr>
                <w:rFonts w:ascii="Times New Roman" w:hAnsi="Times New Roman" w:cs="Times New Roman"/>
                <w:b w:val="0"/>
                <w:i w:val="0"/>
                <w:sz w:val="24"/>
                <w:szCs w:val="24"/>
              </w:rPr>
              <w:t>формлення наглядових проваджень за розглядом звернень та за результатами службових розслідувань</w:t>
            </w:r>
            <w:r>
              <w:rPr>
                <w:rFonts w:ascii="Times New Roman" w:hAnsi="Times New Roman" w:cs="Times New Roman"/>
                <w:b w:val="0"/>
                <w:i w:val="0"/>
                <w:sz w:val="24"/>
                <w:szCs w:val="24"/>
              </w:rPr>
              <w:t>;</w:t>
            </w:r>
          </w:p>
          <w:p w:rsidR="0069346A" w:rsidRDefault="0069346A"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0C32BE">
              <w:rPr>
                <w:rFonts w:ascii="Times New Roman" w:hAnsi="Times New Roman" w:cs="Times New Roman"/>
                <w:b w:val="0"/>
                <w:i w:val="0"/>
                <w:sz w:val="24"/>
                <w:szCs w:val="24"/>
              </w:rPr>
              <w:t>о</w:t>
            </w:r>
            <w:r w:rsidRPr="0069346A">
              <w:rPr>
                <w:rFonts w:ascii="Times New Roman" w:hAnsi="Times New Roman" w:cs="Times New Roman"/>
                <w:b w:val="0"/>
                <w:i w:val="0"/>
                <w:sz w:val="24"/>
                <w:szCs w:val="24"/>
              </w:rPr>
              <w:t>рганізація обліку, зберігання та використання документів з грифом «Для службового користування», ведення книг обліку цих</w:t>
            </w:r>
            <w:r w:rsidR="00133614">
              <w:rPr>
                <w:rFonts w:ascii="Times New Roman" w:hAnsi="Times New Roman" w:cs="Times New Roman"/>
                <w:b w:val="0"/>
                <w:i w:val="0"/>
                <w:sz w:val="24"/>
                <w:szCs w:val="24"/>
              </w:rPr>
              <w:t xml:space="preserve"> документів.</w:t>
            </w:r>
            <w:r w:rsidRPr="0069346A">
              <w:rPr>
                <w:rFonts w:ascii="Times New Roman" w:hAnsi="Times New Roman" w:cs="Times New Roman"/>
                <w:b w:val="0"/>
                <w:i w:val="0"/>
                <w:sz w:val="24"/>
                <w:szCs w:val="24"/>
              </w:rPr>
              <w:t xml:space="preserve"> Забезпечення роботи з документами, які містять персональні дані, та збереження персональних даних </w:t>
            </w:r>
            <w:r w:rsidRPr="0069346A">
              <w:rPr>
                <w:rFonts w:ascii="Times New Roman" w:hAnsi="Times New Roman" w:cs="Times New Roman"/>
                <w:b w:val="0"/>
                <w:i w:val="0"/>
                <w:sz w:val="24"/>
                <w:szCs w:val="24"/>
              </w:rPr>
              <w:lastRenderedPageBreak/>
              <w:t>працівників органів Черкаської обласної прокуратури</w:t>
            </w:r>
            <w:r w:rsidR="000C32BE">
              <w:rPr>
                <w:rFonts w:ascii="Times New Roman" w:hAnsi="Times New Roman" w:cs="Times New Roman"/>
                <w:b w:val="0"/>
                <w:i w:val="0"/>
                <w:sz w:val="24"/>
                <w:szCs w:val="24"/>
              </w:rPr>
              <w:t>;</w:t>
            </w:r>
          </w:p>
          <w:p w:rsidR="000C32BE" w:rsidRDefault="000C32BE"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w:t>
            </w:r>
            <w:r>
              <w:rPr>
                <w:rFonts w:ascii="Times New Roman" w:hAnsi="Times New Roman" w:cs="Times New Roman"/>
              </w:rPr>
              <w:t xml:space="preserve"> </w:t>
            </w:r>
            <w:r>
              <w:rPr>
                <w:rFonts w:ascii="Times New Roman" w:hAnsi="Times New Roman" w:cs="Times New Roman"/>
                <w:b w:val="0"/>
                <w:i w:val="0"/>
                <w:sz w:val="24"/>
                <w:szCs w:val="24"/>
              </w:rPr>
              <w:t>п</w:t>
            </w:r>
            <w:r w:rsidRPr="000C32BE">
              <w:rPr>
                <w:rFonts w:ascii="Times New Roman" w:hAnsi="Times New Roman" w:cs="Times New Roman"/>
                <w:b w:val="0"/>
                <w:i w:val="0"/>
                <w:sz w:val="24"/>
                <w:szCs w:val="24"/>
              </w:rPr>
              <w:t>ідготовка біографічних довідок на працівників органів обласної прокуратури та довідок з місця роботи. Складання щомісячних довідок про укомплектованість штатної чисельності працівників органів обласної прокуратури, проектів звітності</w:t>
            </w:r>
            <w:r w:rsidR="00133614">
              <w:rPr>
                <w:rFonts w:ascii="Times New Roman" w:hAnsi="Times New Roman" w:cs="Times New Roman"/>
                <w:b w:val="0"/>
                <w:i w:val="0"/>
                <w:sz w:val="24"/>
                <w:szCs w:val="24"/>
              </w:rPr>
              <w:t xml:space="preserve"> з кадрової роботи</w:t>
            </w:r>
            <w:r>
              <w:rPr>
                <w:rFonts w:ascii="Times New Roman" w:hAnsi="Times New Roman" w:cs="Times New Roman"/>
                <w:b w:val="0"/>
                <w:i w:val="0"/>
                <w:sz w:val="24"/>
                <w:szCs w:val="24"/>
              </w:rPr>
              <w:t>;</w:t>
            </w:r>
          </w:p>
          <w:p w:rsidR="000C32BE" w:rsidRDefault="000C32BE" w:rsidP="00AA170C">
            <w:pPr>
              <w:pStyle w:val="32"/>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w:t>
            </w:r>
            <w:r>
              <w:rPr>
                <w:rFonts w:ascii="Times New Roman" w:hAnsi="Times New Roman" w:cs="Times New Roman"/>
              </w:rPr>
              <w:t xml:space="preserve"> </w:t>
            </w:r>
            <w:r>
              <w:rPr>
                <w:rFonts w:ascii="Times New Roman" w:hAnsi="Times New Roman" w:cs="Times New Roman"/>
                <w:b w:val="0"/>
                <w:i w:val="0"/>
                <w:sz w:val="24"/>
                <w:szCs w:val="24"/>
              </w:rPr>
              <w:t>д</w:t>
            </w:r>
            <w:r w:rsidRPr="000C32BE">
              <w:rPr>
                <w:rFonts w:ascii="Times New Roman" w:hAnsi="Times New Roman" w:cs="Times New Roman"/>
                <w:b w:val="0"/>
                <w:i w:val="0"/>
                <w:sz w:val="24"/>
                <w:szCs w:val="24"/>
              </w:rPr>
              <w:t>рукування і тиражування службових документів, забезпечення своєчасного та якісного прийняття робочої інформації, в тому числі факсимільним та електронним зв’язком</w:t>
            </w:r>
            <w:r>
              <w:rPr>
                <w:rFonts w:ascii="Times New Roman" w:hAnsi="Times New Roman" w:cs="Times New Roman"/>
                <w:b w:val="0"/>
                <w:i w:val="0"/>
                <w:sz w:val="24"/>
                <w:szCs w:val="24"/>
              </w:rPr>
              <w:t>;</w:t>
            </w:r>
          </w:p>
          <w:p w:rsidR="00B1617C" w:rsidRPr="00FA6FBF" w:rsidRDefault="000C32BE" w:rsidP="00FA6FBF">
            <w:pPr>
              <w:pStyle w:val="32"/>
              <w:shd w:val="clear" w:color="auto" w:fill="auto"/>
              <w:tabs>
                <w:tab w:val="left" w:pos="-426"/>
              </w:tabs>
              <w:spacing w:after="120" w:line="240" w:lineRule="auto"/>
              <w:rPr>
                <w:rFonts w:ascii="Times New Roman" w:eastAsia="Calibri" w:hAnsi="Times New Roman" w:cs="Times New Roman"/>
                <w:b w:val="0"/>
                <w:i w:val="0"/>
                <w:color w:val="000000"/>
                <w:sz w:val="24"/>
                <w:szCs w:val="24"/>
              </w:rPr>
            </w:pPr>
            <w:r>
              <w:rPr>
                <w:rFonts w:ascii="Times New Roman" w:hAnsi="Times New Roman" w:cs="Times New Roman"/>
                <w:b w:val="0"/>
                <w:i w:val="0"/>
                <w:sz w:val="24"/>
                <w:szCs w:val="24"/>
              </w:rPr>
              <w:t>-</w:t>
            </w:r>
            <w:r>
              <w:rPr>
                <w:rFonts w:ascii="Times New Roman" w:hAnsi="Times New Roman" w:cs="Times New Roman"/>
              </w:rPr>
              <w:t xml:space="preserve"> </w:t>
            </w:r>
            <w:r>
              <w:rPr>
                <w:rFonts w:ascii="Times New Roman" w:hAnsi="Times New Roman" w:cs="Times New Roman"/>
                <w:b w:val="0"/>
                <w:i w:val="0"/>
                <w:sz w:val="24"/>
                <w:szCs w:val="24"/>
              </w:rPr>
              <w:t>п</w:t>
            </w:r>
            <w:r w:rsidRPr="000C32BE">
              <w:rPr>
                <w:rFonts w:ascii="Times New Roman" w:hAnsi="Times New Roman" w:cs="Times New Roman"/>
                <w:b w:val="0"/>
                <w:i w:val="0"/>
                <w:sz w:val="24"/>
                <w:szCs w:val="24"/>
              </w:rPr>
              <w:t>ідвищення професійної компетентності та участь у навчальних заходах обласної прокуратури. Виконання інших доручень начальника відділу щодо ведення кадрової роботи.</w:t>
            </w:r>
          </w:p>
        </w:tc>
      </w:tr>
      <w:tr w:rsidR="00FA6FBF" w:rsidRPr="00FB1754" w:rsidTr="00AA170C">
        <w:tblPrEx>
          <w:tblLook w:val="00A0"/>
        </w:tblPrEx>
        <w:trPr>
          <w:trHeight w:val="880"/>
        </w:trPr>
        <w:tc>
          <w:tcPr>
            <w:tcW w:w="3330" w:type="dxa"/>
            <w:gridSpan w:val="3"/>
          </w:tcPr>
          <w:p w:rsidR="00FA6FBF" w:rsidRPr="00E93DCC" w:rsidRDefault="00FA6FBF" w:rsidP="00B05A70">
            <w:pPr>
              <w:rPr>
                <w:sz w:val="24"/>
                <w:szCs w:val="24"/>
              </w:rPr>
            </w:pPr>
            <w:r w:rsidRPr="00E93DCC">
              <w:rPr>
                <w:sz w:val="24"/>
                <w:szCs w:val="24"/>
              </w:rPr>
              <w:lastRenderedPageBreak/>
              <w:t xml:space="preserve">Умови оплати праці </w:t>
            </w:r>
          </w:p>
        </w:tc>
        <w:tc>
          <w:tcPr>
            <w:tcW w:w="6701" w:type="dxa"/>
          </w:tcPr>
          <w:p w:rsidR="00FA6FBF" w:rsidRPr="00E93DCC" w:rsidRDefault="00FA6FBF" w:rsidP="00B05A70">
            <w:pPr>
              <w:rPr>
                <w:sz w:val="24"/>
                <w:szCs w:val="24"/>
              </w:rPr>
            </w:pPr>
            <w:r>
              <w:rPr>
                <w:sz w:val="24"/>
                <w:szCs w:val="24"/>
              </w:rPr>
              <w:t xml:space="preserve">посадовий оклад – 5500 </w:t>
            </w:r>
            <w:proofErr w:type="spellStart"/>
            <w:r>
              <w:rPr>
                <w:sz w:val="24"/>
                <w:szCs w:val="24"/>
              </w:rPr>
              <w:t>грн</w:t>
            </w:r>
            <w:proofErr w:type="spellEnd"/>
            <w:r w:rsidRPr="00E93DCC">
              <w:rPr>
                <w:sz w:val="24"/>
                <w:szCs w:val="24"/>
              </w:rPr>
              <w:t>, надбавки та доплати відповідно до статті 52 Закону України «Про державну службу»</w:t>
            </w:r>
            <w:r>
              <w:rPr>
                <w:sz w:val="24"/>
                <w:szCs w:val="24"/>
              </w:rPr>
              <w:t>,</w:t>
            </w:r>
            <w:r w:rsidRPr="00E93DCC">
              <w:rPr>
                <w:sz w:val="24"/>
                <w:szCs w:val="24"/>
              </w:rPr>
              <w:t xml:space="preserve"> постанови Кабінету Міністрів У</w:t>
            </w:r>
            <w:r w:rsidR="00B1617C">
              <w:rPr>
                <w:sz w:val="24"/>
                <w:szCs w:val="24"/>
              </w:rPr>
              <w:t xml:space="preserve">країни </w:t>
            </w:r>
            <w:r>
              <w:rPr>
                <w:sz w:val="24"/>
                <w:szCs w:val="24"/>
              </w:rPr>
              <w:t>від 18.01.2017 №</w:t>
            </w:r>
            <w:r w:rsidRPr="00E93DCC">
              <w:rPr>
                <w:sz w:val="24"/>
                <w:szCs w:val="24"/>
              </w:rPr>
              <w:t>15 «Питання оплати праці</w:t>
            </w:r>
            <w:r w:rsidR="00AA170C">
              <w:rPr>
                <w:sz w:val="24"/>
                <w:szCs w:val="24"/>
              </w:rPr>
              <w:t xml:space="preserve"> працівників державних органів» </w:t>
            </w:r>
            <w:r w:rsidRPr="00E93DCC">
              <w:rPr>
                <w:sz w:val="24"/>
                <w:szCs w:val="24"/>
              </w:rPr>
              <w:t>(зі змінами)</w:t>
            </w:r>
            <w:r>
              <w:rPr>
                <w:sz w:val="24"/>
                <w:szCs w:val="24"/>
              </w:rPr>
              <w:t xml:space="preserve">. </w:t>
            </w:r>
          </w:p>
        </w:tc>
      </w:tr>
      <w:tr w:rsidR="00FA6FBF" w:rsidRPr="00FB1754" w:rsidTr="00AA170C">
        <w:tblPrEx>
          <w:tblLook w:val="00A0"/>
        </w:tblPrEx>
        <w:tc>
          <w:tcPr>
            <w:tcW w:w="3330" w:type="dxa"/>
            <w:gridSpan w:val="3"/>
          </w:tcPr>
          <w:p w:rsidR="00FA6FBF" w:rsidRPr="00E93DCC" w:rsidRDefault="00FA6FBF" w:rsidP="00B05A70">
            <w:pPr>
              <w:jc w:val="left"/>
              <w:rPr>
                <w:sz w:val="24"/>
                <w:szCs w:val="24"/>
              </w:rPr>
            </w:pPr>
            <w:r w:rsidRPr="00E93DCC">
              <w:rPr>
                <w:sz w:val="24"/>
                <w:szCs w:val="24"/>
              </w:rPr>
              <w:t>Інформація про строковість чи безстроковість призначення на посаду</w:t>
            </w:r>
          </w:p>
          <w:p w:rsidR="00FA6FBF" w:rsidRPr="00E93DCC" w:rsidRDefault="00FA6FBF" w:rsidP="00B05A70">
            <w:pPr>
              <w:jc w:val="left"/>
              <w:rPr>
                <w:sz w:val="24"/>
                <w:szCs w:val="24"/>
              </w:rPr>
            </w:pPr>
          </w:p>
        </w:tc>
        <w:tc>
          <w:tcPr>
            <w:tcW w:w="6701" w:type="dxa"/>
          </w:tcPr>
          <w:p w:rsidR="00B1617C" w:rsidRDefault="00B1617C" w:rsidP="00B1617C">
            <w:pPr>
              <w:rPr>
                <w:sz w:val="24"/>
                <w:szCs w:val="24"/>
              </w:rPr>
            </w:pPr>
            <w:proofErr w:type="spellStart"/>
            <w:r>
              <w:rPr>
                <w:sz w:val="24"/>
                <w:szCs w:val="24"/>
              </w:rPr>
              <w:t>строково</w:t>
            </w:r>
            <w:proofErr w:type="spellEnd"/>
            <w:r>
              <w:rPr>
                <w:sz w:val="24"/>
                <w:szCs w:val="24"/>
              </w:rPr>
              <w:t>,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FA6FBF" w:rsidRPr="003F1187" w:rsidRDefault="00B1617C" w:rsidP="00B1617C">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FA6FBF" w:rsidRPr="00FB1754" w:rsidTr="00AA170C">
        <w:tblPrEx>
          <w:tblLook w:val="00A0"/>
        </w:tblPrEx>
        <w:tc>
          <w:tcPr>
            <w:tcW w:w="3330" w:type="dxa"/>
            <w:gridSpan w:val="3"/>
          </w:tcPr>
          <w:p w:rsidR="00FA6FBF" w:rsidRPr="00E93DCC" w:rsidRDefault="00FA6FBF" w:rsidP="00192310">
            <w:pPr>
              <w:jc w:val="left"/>
              <w:rPr>
                <w:sz w:val="24"/>
                <w:szCs w:val="24"/>
              </w:rPr>
            </w:pPr>
            <w:r w:rsidRPr="00E93DCC">
              <w:rPr>
                <w:sz w:val="24"/>
                <w:szCs w:val="24"/>
              </w:rPr>
              <w:t>Перелік інформації, необхідної для участі в конкурсі, та строк її подання</w:t>
            </w:r>
          </w:p>
        </w:tc>
        <w:tc>
          <w:tcPr>
            <w:tcW w:w="6701" w:type="dxa"/>
          </w:tcPr>
          <w:p w:rsidR="00B1617C" w:rsidRDefault="00B1617C" w:rsidP="00B1617C">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B1617C" w:rsidRPr="002F074F" w:rsidRDefault="00B1617C" w:rsidP="00B1617C">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затвердженого постановою Кабінету Міністрів України  від 22.04.2020 №290 </w:t>
            </w:r>
            <w:r w:rsidRPr="002F074F">
              <w:rPr>
                <w:sz w:val="24"/>
                <w:szCs w:val="24"/>
              </w:rPr>
              <w:t>;</w:t>
            </w:r>
          </w:p>
          <w:p w:rsidR="00B1617C" w:rsidRPr="002F074F" w:rsidRDefault="00B1617C" w:rsidP="00B1617C">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B1617C" w:rsidRPr="00AE096C" w:rsidRDefault="00B1617C" w:rsidP="00B1617C">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B1617C" w:rsidRDefault="00B1617C" w:rsidP="00B1617C">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Pr>
                <w:sz w:val="24"/>
                <w:szCs w:val="24"/>
              </w:rPr>
              <w:t xml:space="preserve">                     </w:t>
            </w:r>
            <w:r>
              <w:rPr>
                <w:b/>
                <w:sz w:val="24"/>
                <w:szCs w:val="24"/>
              </w:rPr>
              <w:t>15 год. 45 хв. 18 вересня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w:t>
            </w:r>
            <w:proofErr w:type="spellStart"/>
            <w:r>
              <w:rPr>
                <w:sz w:val="24"/>
                <w:szCs w:val="24"/>
              </w:rPr>
              <w:t>НАДС</w:t>
            </w:r>
            <w:proofErr w:type="spellEnd"/>
            <w:r>
              <w:rPr>
                <w:sz w:val="24"/>
                <w:szCs w:val="24"/>
              </w:rPr>
              <w:t xml:space="preserve"> </w:t>
            </w:r>
            <w:r>
              <w:rPr>
                <w:color w:val="000000"/>
                <w:sz w:val="26"/>
                <w:szCs w:val="26"/>
                <w:lang w:eastAsia="uk-UA"/>
              </w:rPr>
              <w:t>(</w:t>
            </w:r>
            <w:proofErr w:type="spellStart"/>
            <w:r>
              <w:rPr>
                <w:color w:val="000000"/>
                <w:sz w:val="26"/>
                <w:szCs w:val="26"/>
                <w:lang w:eastAsia="uk-UA"/>
              </w:rPr>
              <w:t>career.gov.ua</w:t>
            </w:r>
            <w:proofErr w:type="spellEnd"/>
            <w:r>
              <w:rPr>
                <w:color w:val="000000"/>
                <w:sz w:val="26"/>
                <w:szCs w:val="26"/>
                <w:lang w:eastAsia="uk-UA"/>
              </w:rPr>
              <w:t>).</w:t>
            </w:r>
          </w:p>
          <w:p w:rsidR="00FA6FBF" w:rsidRPr="00E11CE8" w:rsidRDefault="00B1617C" w:rsidP="00B1617C">
            <w:pPr>
              <w:spacing w:after="40"/>
              <w:rPr>
                <w:b/>
                <w:sz w:val="24"/>
                <w:szCs w:val="24"/>
              </w:rPr>
            </w:pPr>
            <w:r>
              <w:rPr>
                <w:sz w:val="24"/>
                <w:szCs w:val="24"/>
                <w:shd w:val="clear" w:color="auto" w:fill="FFFFFF"/>
              </w:rPr>
              <w:t xml:space="preserve">Про дату, час та місце проведення співбесіди запрошеним для </w:t>
            </w:r>
            <w:r>
              <w:rPr>
                <w:sz w:val="24"/>
                <w:szCs w:val="24"/>
                <w:shd w:val="clear" w:color="auto" w:fill="FFFFFF"/>
              </w:rPr>
              <w:lastRenderedPageBreak/>
              <w:t>проходження кандидатам буде повідомлено додатково</w:t>
            </w:r>
            <w:r w:rsidR="0007066E">
              <w:rPr>
                <w:sz w:val="24"/>
                <w:szCs w:val="24"/>
                <w:shd w:val="clear" w:color="auto" w:fill="FFFFFF"/>
              </w:rPr>
              <w:t xml:space="preserve"> (електронною поштою)</w:t>
            </w:r>
            <w:r>
              <w:rPr>
                <w:sz w:val="24"/>
                <w:szCs w:val="24"/>
                <w:shd w:val="clear" w:color="auto" w:fill="FFFFFF"/>
              </w:rPr>
              <w:t>.</w:t>
            </w:r>
          </w:p>
        </w:tc>
      </w:tr>
      <w:tr w:rsidR="00FA6FBF" w:rsidRPr="00FB1754" w:rsidTr="00AA170C">
        <w:tblPrEx>
          <w:tblLook w:val="00A0"/>
        </w:tblPrEx>
        <w:tc>
          <w:tcPr>
            <w:tcW w:w="3330" w:type="dxa"/>
            <w:gridSpan w:val="3"/>
          </w:tcPr>
          <w:p w:rsidR="00FA6FBF" w:rsidRPr="00E93DCC" w:rsidRDefault="00FA6FBF" w:rsidP="00B05A70">
            <w:pPr>
              <w:rPr>
                <w:sz w:val="24"/>
                <w:szCs w:val="24"/>
              </w:rPr>
            </w:pPr>
            <w:r w:rsidRPr="00E93DCC">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B1617C">
              <w:rPr>
                <w:sz w:val="24"/>
                <w:szCs w:val="24"/>
              </w:rPr>
              <w:t>добору</w:t>
            </w:r>
          </w:p>
        </w:tc>
        <w:tc>
          <w:tcPr>
            <w:tcW w:w="6701" w:type="dxa"/>
          </w:tcPr>
          <w:p w:rsidR="00FA6FBF" w:rsidRDefault="00B1617C" w:rsidP="00B05A70">
            <w:pPr>
              <w:rPr>
                <w:sz w:val="24"/>
                <w:szCs w:val="24"/>
                <w:lang w:val="ru-RU"/>
              </w:rPr>
            </w:pPr>
            <w:proofErr w:type="spellStart"/>
            <w:r>
              <w:rPr>
                <w:sz w:val="24"/>
                <w:szCs w:val="24"/>
                <w:lang w:val="ru-RU"/>
              </w:rPr>
              <w:t>Гіндик</w:t>
            </w:r>
            <w:proofErr w:type="spellEnd"/>
            <w:r>
              <w:rPr>
                <w:sz w:val="24"/>
                <w:szCs w:val="24"/>
                <w:lang w:val="ru-RU"/>
              </w:rPr>
              <w:t xml:space="preserve"> </w:t>
            </w:r>
            <w:proofErr w:type="spellStart"/>
            <w:r>
              <w:rPr>
                <w:sz w:val="24"/>
                <w:szCs w:val="24"/>
                <w:lang w:val="ru-RU"/>
              </w:rPr>
              <w:t>Альона</w:t>
            </w:r>
            <w:proofErr w:type="spellEnd"/>
            <w:r>
              <w:rPr>
                <w:sz w:val="24"/>
                <w:szCs w:val="24"/>
                <w:lang w:val="ru-RU"/>
              </w:rPr>
              <w:t xml:space="preserve"> </w:t>
            </w:r>
            <w:proofErr w:type="spellStart"/>
            <w:r>
              <w:rPr>
                <w:sz w:val="24"/>
                <w:szCs w:val="24"/>
                <w:lang w:val="ru-RU"/>
              </w:rPr>
              <w:t>Миколаївна</w:t>
            </w:r>
            <w:proofErr w:type="spellEnd"/>
            <w:r w:rsidR="00FA6FBF">
              <w:rPr>
                <w:sz w:val="24"/>
                <w:szCs w:val="24"/>
                <w:lang w:val="ru-RU"/>
              </w:rPr>
              <w:t xml:space="preserve"> (0472-37-71-88)</w:t>
            </w:r>
          </w:p>
          <w:p w:rsidR="00FA6FBF" w:rsidRPr="005D1F99" w:rsidRDefault="00FA6FBF" w:rsidP="00B05A70">
            <w:pPr>
              <w:rPr>
                <w:sz w:val="24"/>
                <w:szCs w:val="24"/>
                <w:u w:val="single"/>
                <w:lang w:val="ru-RU"/>
              </w:rPr>
            </w:pPr>
            <w:r>
              <w:rPr>
                <w:sz w:val="24"/>
                <w:szCs w:val="24"/>
                <w:u w:val="single"/>
                <w:lang w:val="en-US"/>
              </w:rPr>
              <w:t>v</w:t>
            </w:r>
            <w:r w:rsidRPr="005D1F99">
              <w:rPr>
                <w:sz w:val="24"/>
                <w:szCs w:val="24"/>
                <w:u w:val="single"/>
                <w:lang w:val="ru-RU"/>
              </w:rPr>
              <w:t>.</w:t>
            </w:r>
            <w:proofErr w:type="spellStart"/>
            <w:r>
              <w:rPr>
                <w:sz w:val="24"/>
                <w:szCs w:val="24"/>
                <w:u w:val="single"/>
                <w:lang w:val="en-US"/>
              </w:rPr>
              <w:t>kadriv</w:t>
            </w:r>
            <w:proofErr w:type="spellEnd"/>
            <w:r w:rsidRPr="005D1F99">
              <w:rPr>
                <w:sz w:val="24"/>
                <w:szCs w:val="24"/>
                <w:u w:val="single"/>
                <w:lang w:val="ru-RU"/>
              </w:rPr>
              <w:t>.</w:t>
            </w:r>
            <w:proofErr w:type="spellStart"/>
            <w:r>
              <w:rPr>
                <w:sz w:val="24"/>
                <w:szCs w:val="24"/>
                <w:u w:val="single"/>
                <w:lang w:val="en-US"/>
              </w:rPr>
              <w:t>po</w:t>
            </w:r>
            <w:proofErr w:type="spellEnd"/>
            <w:r w:rsidRPr="005D1F99">
              <w:rPr>
                <w:sz w:val="24"/>
                <w:szCs w:val="24"/>
                <w:u w:val="single"/>
                <w:lang w:val="ru-RU"/>
              </w:rPr>
              <w:t>@</w:t>
            </w:r>
            <w:proofErr w:type="spellStart"/>
            <w:r>
              <w:rPr>
                <w:sz w:val="24"/>
                <w:szCs w:val="24"/>
                <w:u w:val="single"/>
                <w:lang w:val="en-US"/>
              </w:rPr>
              <w:t>gmail</w:t>
            </w:r>
            <w:proofErr w:type="spellEnd"/>
            <w:r w:rsidRPr="005D1F99">
              <w:rPr>
                <w:sz w:val="24"/>
                <w:szCs w:val="24"/>
                <w:u w:val="single"/>
                <w:lang w:val="ru-RU"/>
              </w:rPr>
              <w:t>.</w:t>
            </w:r>
            <w:r>
              <w:rPr>
                <w:sz w:val="24"/>
                <w:szCs w:val="24"/>
                <w:u w:val="single"/>
                <w:lang w:val="en-US"/>
              </w:rPr>
              <w:t>com</w:t>
            </w:r>
          </w:p>
          <w:p w:rsidR="00FA6FBF" w:rsidRPr="00E93DCC" w:rsidRDefault="00FA6FBF" w:rsidP="00B05A70">
            <w:pPr>
              <w:rPr>
                <w:sz w:val="24"/>
                <w:szCs w:val="24"/>
              </w:rPr>
            </w:pPr>
          </w:p>
        </w:tc>
      </w:tr>
      <w:tr w:rsidR="00FA6FBF" w:rsidRPr="00FB1754" w:rsidTr="00AA170C">
        <w:tblPrEx>
          <w:tblLook w:val="00A0"/>
        </w:tblPrEx>
        <w:tc>
          <w:tcPr>
            <w:tcW w:w="10031" w:type="dxa"/>
            <w:gridSpan w:val="4"/>
          </w:tcPr>
          <w:p w:rsidR="00FA6FBF" w:rsidRPr="00E93DCC" w:rsidRDefault="00FA6FBF" w:rsidP="00B05A70">
            <w:pPr>
              <w:jc w:val="center"/>
              <w:rPr>
                <w:b/>
                <w:sz w:val="24"/>
                <w:szCs w:val="24"/>
              </w:rPr>
            </w:pPr>
            <w:r w:rsidRPr="00E93DCC">
              <w:rPr>
                <w:b/>
                <w:sz w:val="24"/>
                <w:szCs w:val="24"/>
              </w:rPr>
              <w:t>Кваліфікаційні вимоги</w:t>
            </w:r>
          </w:p>
        </w:tc>
      </w:tr>
      <w:tr w:rsidR="00FA6FBF" w:rsidRPr="00FB1754" w:rsidTr="00AA170C">
        <w:tblPrEx>
          <w:tblLook w:val="00A0"/>
        </w:tblPrEx>
        <w:tc>
          <w:tcPr>
            <w:tcW w:w="675" w:type="dxa"/>
          </w:tcPr>
          <w:p w:rsidR="00FA6FBF" w:rsidRPr="00E93DCC" w:rsidRDefault="00FA6FBF" w:rsidP="00B05A70">
            <w:pPr>
              <w:rPr>
                <w:sz w:val="24"/>
                <w:szCs w:val="24"/>
              </w:rPr>
            </w:pPr>
            <w:r w:rsidRPr="00E93DCC">
              <w:rPr>
                <w:sz w:val="24"/>
                <w:szCs w:val="24"/>
              </w:rPr>
              <w:t>1</w:t>
            </w:r>
          </w:p>
        </w:tc>
        <w:tc>
          <w:tcPr>
            <w:tcW w:w="2655" w:type="dxa"/>
            <w:gridSpan w:val="2"/>
          </w:tcPr>
          <w:p w:rsidR="00FA6FBF" w:rsidRPr="00E93DCC" w:rsidRDefault="00FA6FBF" w:rsidP="00B05A70">
            <w:pPr>
              <w:rPr>
                <w:sz w:val="24"/>
                <w:szCs w:val="24"/>
              </w:rPr>
            </w:pPr>
            <w:r w:rsidRPr="00E93DCC">
              <w:rPr>
                <w:sz w:val="24"/>
                <w:szCs w:val="24"/>
              </w:rPr>
              <w:t>Освіта</w:t>
            </w:r>
          </w:p>
        </w:tc>
        <w:tc>
          <w:tcPr>
            <w:tcW w:w="6701" w:type="dxa"/>
          </w:tcPr>
          <w:p w:rsidR="00FA6FBF" w:rsidRDefault="00B1617C" w:rsidP="00C30760">
            <w:pPr>
              <w:rPr>
                <w:sz w:val="24"/>
                <w:szCs w:val="24"/>
                <w:shd w:val="clear" w:color="auto" w:fill="FFFFFF"/>
              </w:rPr>
            </w:pPr>
            <w:r>
              <w:rPr>
                <w:sz w:val="24"/>
                <w:szCs w:val="24"/>
                <w:shd w:val="clear" w:color="auto" w:fill="FFFFFF"/>
              </w:rPr>
              <w:t>вища освіта не нижче бакалавра, молодшого бакалавра</w:t>
            </w:r>
          </w:p>
          <w:p w:rsidR="000C32BE" w:rsidRPr="000C32BE" w:rsidRDefault="000C32BE" w:rsidP="00C30760">
            <w:pPr>
              <w:rPr>
                <w:sz w:val="24"/>
                <w:szCs w:val="24"/>
                <w:shd w:val="clear" w:color="auto" w:fill="FFFFFF"/>
              </w:rPr>
            </w:pPr>
          </w:p>
        </w:tc>
      </w:tr>
      <w:tr w:rsidR="00FA6FBF" w:rsidRPr="00FB1754" w:rsidTr="00AA170C">
        <w:tblPrEx>
          <w:tblLook w:val="00A0"/>
        </w:tblPrEx>
        <w:tc>
          <w:tcPr>
            <w:tcW w:w="675" w:type="dxa"/>
          </w:tcPr>
          <w:p w:rsidR="00FA6FBF" w:rsidRPr="00E93DCC" w:rsidRDefault="00FA6FBF" w:rsidP="00B05A70">
            <w:pPr>
              <w:rPr>
                <w:sz w:val="24"/>
                <w:szCs w:val="24"/>
              </w:rPr>
            </w:pPr>
            <w:r w:rsidRPr="00E93DCC">
              <w:rPr>
                <w:sz w:val="24"/>
                <w:szCs w:val="24"/>
              </w:rPr>
              <w:t>2</w:t>
            </w:r>
          </w:p>
        </w:tc>
        <w:tc>
          <w:tcPr>
            <w:tcW w:w="2655" w:type="dxa"/>
            <w:gridSpan w:val="2"/>
          </w:tcPr>
          <w:p w:rsidR="00FA6FBF" w:rsidRPr="00E93DCC" w:rsidRDefault="00FA6FBF" w:rsidP="00B05A70">
            <w:pPr>
              <w:rPr>
                <w:sz w:val="24"/>
                <w:szCs w:val="24"/>
              </w:rPr>
            </w:pPr>
            <w:r w:rsidRPr="00E93DCC">
              <w:rPr>
                <w:sz w:val="24"/>
                <w:szCs w:val="24"/>
              </w:rPr>
              <w:t xml:space="preserve">Досвід роботи </w:t>
            </w:r>
          </w:p>
        </w:tc>
        <w:tc>
          <w:tcPr>
            <w:tcW w:w="6701" w:type="dxa"/>
          </w:tcPr>
          <w:p w:rsidR="00FA6FBF" w:rsidRPr="00E93DCC" w:rsidRDefault="00FA6FBF" w:rsidP="00B05A70">
            <w:pPr>
              <w:rPr>
                <w:sz w:val="24"/>
                <w:szCs w:val="24"/>
              </w:rPr>
            </w:pPr>
            <w:r>
              <w:rPr>
                <w:sz w:val="24"/>
                <w:szCs w:val="24"/>
              </w:rPr>
              <w:t>не потребує</w:t>
            </w:r>
          </w:p>
        </w:tc>
      </w:tr>
      <w:tr w:rsidR="00FA6FBF" w:rsidRPr="00FB1754" w:rsidTr="00AA170C">
        <w:tblPrEx>
          <w:tblLook w:val="00A0"/>
        </w:tblPrEx>
        <w:trPr>
          <w:trHeight w:val="723"/>
        </w:trPr>
        <w:tc>
          <w:tcPr>
            <w:tcW w:w="675" w:type="dxa"/>
          </w:tcPr>
          <w:p w:rsidR="00FA6FBF" w:rsidRPr="00E93DCC" w:rsidRDefault="00FA6FBF" w:rsidP="00B05A70">
            <w:pPr>
              <w:rPr>
                <w:sz w:val="24"/>
                <w:szCs w:val="24"/>
              </w:rPr>
            </w:pPr>
            <w:r w:rsidRPr="00E93DCC">
              <w:rPr>
                <w:sz w:val="24"/>
                <w:szCs w:val="24"/>
              </w:rPr>
              <w:t>3</w:t>
            </w:r>
          </w:p>
        </w:tc>
        <w:tc>
          <w:tcPr>
            <w:tcW w:w="2655" w:type="dxa"/>
            <w:gridSpan w:val="2"/>
          </w:tcPr>
          <w:p w:rsidR="00FA6FBF" w:rsidRPr="00E93DCC" w:rsidRDefault="00FA6FBF" w:rsidP="00B05A70">
            <w:pPr>
              <w:rPr>
                <w:sz w:val="24"/>
                <w:szCs w:val="24"/>
              </w:rPr>
            </w:pPr>
            <w:r w:rsidRPr="00E93DCC">
              <w:rPr>
                <w:sz w:val="24"/>
                <w:szCs w:val="24"/>
              </w:rPr>
              <w:t xml:space="preserve">Володіння державною </w:t>
            </w:r>
          </w:p>
          <w:p w:rsidR="00FA6FBF" w:rsidRPr="00243317" w:rsidRDefault="00FA6FBF" w:rsidP="00B05A70">
            <w:pPr>
              <w:rPr>
                <w:sz w:val="24"/>
                <w:szCs w:val="24"/>
              </w:rPr>
            </w:pPr>
            <w:r w:rsidRPr="00E93DCC">
              <w:rPr>
                <w:sz w:val="24"/>
                <w:szCs w:val="24"/>
              </w:rPr>
              <w:t>мовою</w:t>
            </w:r>
          </w:p>
        </w:tc>
        <w:tc>
          <w:tcPr>
            <w:tcW w:w="6701" w:type="dxa"/>
          </w:tcPr>
          <w:p w:rsidR="00FA6FBF" w:rsidRPr="00E93DCC" w:rsidRDefault="00FA6FBF" w:rsidP="00B05A70">
            <w:pPr>
              <w:rPr>
                <w:sz w:val="24"/>
                <w:szCs w:val="24"/>
              </w:rPr>
            </w:pPr>
            <w:r w:rsidRPr="00E93DCC">
              <w:rPr>
                <w:sz w:val="24"/>
                <w:szCs w:val="24"/>
              </w:rPr>
              <w:t>вільне володіння державною мовою</w:t>
            </w:r>
          </w:p>
        </w:tc>
      </w:tr>
    </w:tbl>
    <w:p w:rsidR="00BD3F61" w:rsidRDefault="00BD3F61">
      <w:bookmarkStart w:id="1" w:name="_GoBack"/>
      <w:bookmarkEnd w:id="1"/>
    </w:p>
    <w:sectPr w:rsidR="00BD3F61" w:rsidSect="009654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D40"/>
    <w:multiLevelType w:val="hybridMultilevel"/>
    <w:tmpl w:val="1E74C842"/>
    <w:lvl w:ilvl="0" w:tplc="97B69622">
      <w:start w:val="1"/>
      <w:numFmt w:val="decimal"/>
      <w:lvlText w:val="%1)"/>
      <w:lvlJc w:val="left"/>
      <w:pPr>
        <w:tabs>
          <w:tab w:val="num" w:pos="1290"/>
        </w:tabs>
        <w:ind w:left="1290" w:hanging="585"/>
      </w:pPr>
      <w:rPr>
        <w:rFonts w:hint="default"/>
      </w:rPr>
    </w:lvl>
    <w:lvl w:ilvl="1" w:tplc="6A6E877A">
      <w:start w:val="12"/>
      <w:numFmt w:val="bullet"/>
      <w:lvlText w:val="-"/>
      <w:lvlJc w:val="left"/>
      <w:pPr>
        <w:tabs>
          <w:tab w:val="num" w:pos="1815"/>
        </w:tabs>
        <w:ind w:left="1815" w:hanging="390"/>
      </w:pPr>
      <w:rPr>
        <w:rFonts w:ascii="Times New Roman" w:eastAsia="Times New Roman" w:hAnsi="Times New Roman" w:cs="Times New Roman" w:hint="default"/>
      </w:rPr>
    </w:lvl>
    <w:lvl w:ilvl="2" w:tplc="AE18830C">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1667008"/>
    <w:multiLevelType w:val="hybridMultilevel"/>
    <w:tmpl w:val="BCA6AEC8"/>
    <w:lvl w:ilvl="0" w:tplc="AE18830C">
      <w:start w:val="1"/>
      <w:numFmt w:val="decimal"/>
      <w:lvlText w:val="%1)"/>
      <w:lvlJc w:val="left"/>
      <w:pPr>
        <w:tabs>
          <w:tab w:val="num" w:pos="1080"/>
        </w:tabs>
        <w:ind w:left="1080" w:hanging="360"/>
      </w:pPr>
      <w:rPr>
        <w:rFonts w:hint="default"/>
      </w:rPr>
    </w:lvl>
    <w:lvl w:ilvl="1" w:tplc="AE884A04">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BF6092"/>
    <w:multiLevelType w:val="hybridMultilevel"/>
    <w:tmpl w:val="DF5A072A"/>
    <w:lvl w:ilvl="0" w:tplc="AE18830C">
      <w:start w:val="1"/>
      <w:numFmt w:val="decimal"/>
      <w:lvlText w:val="%1)"/>
      <w:lvlJc w:val="left"/>
      <w:pPr>
        <w:tabs>
          <w:tab w:val="num" w:pos="1080"/>
        </w:tabs>
        <w:ind w:left="1080" w:hanging="360"/>
      </w:pPr>
      <w:rPr>
        <w:rFonts w:hint="default"/>
      </w:rPr>
    </w:lvl>
    <w:lvl w:ilvl="1" w:tplc="6A6E877A">
      <w:start w:val="12"/>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4874D8"/>
    <w:multiLevelType w:val="hybridMultilevel"/>
    <w:tmpl w:val="BDBC89C4"/>
    <w:lvl w:ilvl="0" w:tplc="6A6E877A">
      <w:start w:val="12"/>
      <w:numFmt w:val="bullet"/>
      <w:lvlText w:val="-"/>
      <w:lvlJc w:val="left"/>
      <w:pPr>
        <w:tabs>
          <w:tab w:val="num" w:pos="1800"/>
        </w:tabs>
        <w:ind w:left="1800" w:hanging="39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59CF14E4"/>
    <w:multiLevelType w:val="hybridMultilevel"/>
    <w:tmpl w:val="2FBA828C"/>
    <w:lvl w:ilvl="0" w:tplc="AE18830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66407E67"/>
    <w:multiLevelType w:val="hybridMultilevel"/>
    <w:tmpl w:val="FBB4E0B4"/>
    <w:lvl w:ilvl="0" w:tplc="AE18830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79E22ED2"/>
    <w:multiLevelType w:val="hybridMultilevel"/>
    <w:tmpl w:val="F3F46004"/>
    <w:lvl w:ilvl="0" w:tplc="AE18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50A"/>
    <w:rsid w:val="00014603"/>
    <w:rsid w:val="0007066E"/>
    <w:rsid w:val="000C0A99"/>
    <w:rsid w:val="000C32BE"/>
    <w:rsid w:val="00130817"/>
    <w:rsid w:val="00133614"/>
    <w:rsid w:val="001D64E2"/>
    <w:rsid w:val="00217334"/>
    <w:rsid w:val="002A766C"/>
    <w:rsid w:val="00360E0E"/>
    <w:rsid w:val="00395233"/>
    <w:rsid w:val="003C4E60"/>
    <w:rsid w:val="003F1187"/>
    <w:rsid w:val="003F24AF"/>
    <w:rsid w:val="00425A9A"/>
    <w:rsid w:val="0044443F"/>
    <w:rsid w:val="00504602"/>
    <w:rsid w:val="00616939"/>
    <w:rsid w:val="006212B6"/>
    <w:rsid w:val="00667E32"/>
    <w:rsid w:val="0068161A"/>
    <w:rsid w:val="0069346A"/>
    <w:rsid w:val="006C0377"/>
    <w:rsid w:val="006E58ED"/>
    <w:rsid w:val="0070169C"/>
    <w:rsid w:val="00792B4B"/>
    <w:rsid w:val="007A441A"/>
    <w:rsid w:val="007C1952"/>
    <w:rsid w:val="008377AE"/>
    <w:rsid w:val="00872959"/>
    <w:rsid w:val="008829DE"/>
    <w:rsid w:val="00927281"/>
    <w:rsid w:val="00965443"/>
    <w:rsid w:val="009A02D1"/>
    <w:rsid w:val="009A0D9E"/>
    <w:rsid w:val="009E3E15"/>
    <w:rsid w:val="00A3350A"/>
    <w:rsid w:val="00A72F06"/>
    <w:rsid w:val="00A74E50"/>
    <w:rsid w:val="00AA170C"/>
    <w:rsid w:val="00AA2327"/>
    <w:rsid w:val="00AD3C6F"/>
    <w:rsid w:val="00B1617C"/>
    <w:rsid w:val="00BA22F9"/>
    <w:rsid w:val="00BD3F61"/>
    <w:rsid w:val="00C009CB"/>
    <w:rsid w:val="00C1475E"/>
    <w:rsid w:val="00C30760"/>
    <w:rsid w:val="00C470DA"/>
    <w:rsid w:val="00C62FBA"/>
    <w:rsid w:val="00CE1BDF"/>
    <w:rsid w:val="00D37C22"/>
    <w:rsid w:val="00D66BF9"/>
    <w:rsid w:val="00DB1B2B"/>
    <w:rsid w:val="00E11CE8"/>
    <w:rsid w:val="00F14B80"/>
    <w:rsid w:val="00F31BDB"/>
    <w:rsid w:val="00FA6F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spacing w:after="0" w:line="240" w:lineRule="auto"/>
      <w:jc w:val="both"/>
    </w:pPr>
    <w:rPr>
      <w:rFonts w:ascii="Times New Roman" w:eastAsia="Calibri" w:hAnsi="Times New Roman" w:cs="Times New Roman"/>
      <w:sz w:val="28"/>
    </w:rPr>
  </w:style>
  <w:style w:type="paragraph" w:styleId="3">
    <w:name w:val="heading 3"/>
    <w:basedOn w:val="a"/>
    <w:link w:val="30"/>
    <w:qFormat/>
    <w:rsid w:val="00FA6FBF"/>
    <w:pPr>
      <w:spacing w:before="100" w:beforeAutospacing="1" w:after="100" w:afterAutospacing="1"/>
      <w:jc w:val="left"/>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1">
    <w:name w:val="Абзац списку1"/>
    <w:basedOn w:val="a"/>
    <w:rsid w:val="0044443F"/>
    <w:pPr>
      <w:spacing w:after="200" w:line="276" w:lineRule="auto"/>
      <w:ind w:left="720"/>
      <w:contextualSpacing/>
      <w:jc w:val="left"/>
    </w:pPr>
    <w:rPr>
      <w:rFonts w:ascii="Calibri" w:eastAsia="Times New Roman" w:hAnsi="Calibri"/>
      <w:sz w:val="22"/>
      <w:lang w:val="ru-RU" w:eastAsia="ru-RU"/>
    </w:rPr>
  </w:style>
  <w:style w:type="character" w:customStyle="1" w:styleId="a3">
    <w:name w:val="Основной текст_"/>
    <w:link w:val="2"/>
    <w:locked/>
    <w:rsid w:val="0044443F"/>
    <w:rPr>
      <w:sz w:val="26"/>
      <w:szCs w:val="26"/>
      <w:shd w:val="clear" w:color="auto" w:fill="FFFFFF"/>
    </w:rPr>
  </w:style>
  <w:style w:type="character" w:customStyle="1" w:styleId="31">
    <w:name w:val="Основной текст (3)_"/>
    <w:link w:val="32"/>
    <w:locked/>
    <w:rsid w:val="0044443F"/>
    <w:rPr>
      <w:b/>
      <w:bCs/>
      <w:i/>
      <w:iCs/>
      <w:sz w:val="26"/>
      <w:szCs w:val="26"/>
      <w:shd w:val="clear" w:color="auto" w:fill="FFFFFF"/>
    </w:rPr>
  </w:style>
  <w:style w:type="character" w:customStyle="1" w:styleId="a4">
    <w:name w:val="Основной текст + Полужирный"/>
    <w:aliases w:val="Курсив"/>
    <w:rsid w:val="0044443F"/>
    <w:rPr>
      <w:b/>
      <w:bCs/>
      <w:i/>
      <w:iCs/>
      <w:color w:val="000000"/>
      <w:spacing w:val="0"/>
      <w:w w:val="100"/>
      <w:position w:val="0"/>
      <w:sz w:val="26"/>
      <w:szCs w:val="26"/>
      <w:shd w:val="clear" w:color="auto" w:fill="FFFFFF"/>
      <w:lang w:val="uk-UA" w:bidi="ar-SA"/>
    </w:rPr>
  </w:style>
  <w:style w:type="paragraph" w:customStyle="1" w:styleId="2">
    <w:name w:val="Основной текст2"/>
    <w:basedOn w:val="a"/>
    <w:link w:val="a3"/>
    <w:rsid w:val="0044443F"/>
    <w:pPr>
      <w:widowControl w:val="0"/>
      <w:shd w:val="clear" w:color="auto" w:fill="FFFFFF"/>
      <w:spacing w:before="180" w:after="420" w:line="307" w:lineRule="exact"/>
    </w:pPr>
    <w:rPr>
      <w:rFonts w:asciiTheme="minorHAnsi" w:eastAsiaTheme="minorHAnsi" w:hAnsiTheme="minorHAnsi" w:cstheme="minorBidi"/>
      <w:sz w:val="26"/>
      <w:szCs w:val="26"/>
      <w:shd w:val="clear" w:color="auto" w:fill="FFFFFF"/>
    </w:rPr>
  </w:style>
  <w:style w:type="paragraph" w:customStyle="1" w:styleId="32">
    <w:name w:val="Основной текст (3)"/>
    <w:basedOn w:val="a"/>
    <w:link w:val="31"/>
    <w:rsid w:val="0044443F"/>
    <w:pPr>
      <w:widowControl w:val="0"/>
      <w:shd w:val="clear" w:color="auto" w:fill="FFFFFF"/>
      <w:spacing w:line="374" w:lineRule="exact"/>
    </w:pPr>
    <w:rPr>
      <w:rFonts w:asciiTheme="minorHAnsi" w:eastAsiaTheme="minorHAnsi" w:hAnsiTheme="minorHAnsi" w:cstheme="minorBidi"/>
      <w:b/>
      <w:bCs/>
      <w:i/>
      <w:iCs/>
      <w:sz w:val="26"/>
      <w:szCs w:val="26"/>
      <w:shd w:val="clear" w:color="auto" w:fill="FFFFFF"/>
    </w:rPr>
  </w:style>
  <w:style w:type="paragraph" w:customStyle="1" w:styleId="20">
    <w:name w:val="Абзац списку2"/>
    <w:basedOn w:val="a"/>
    <w:rsid w:val="00130817"/>
    <w:pPr>
      <w:spacing w:after="200" w:line="276" w:lineRule="auto"/>
      <w:ind w:left="720"/>
      <w:contextualSpacing/>
      <w:jc w:val="left"/>
    </w:pPr>
    <w:rPr>
      <w:rFonts w:ascii="Calibri" w:eastAsia="Times New Roman" w:hAnsi="Calibri"/>
      <w:sz w:val="22"/>
      <w:lang w:val="ru-RU" w:eastAsia="ru-RU"/>
    </w:rPr>
  </w:style>
  <w:style w:type="paragraph" w:customStyle="1" w:styleId="a5">
    <w:name w:val="Центровка"/>
    <w:basedOn w:val="a"/>
    <w:rsid w:val="00872959"/>
    <w:pPr>
      <w:suppressAutoHyphens/>
      <w:spacing w:before="120" w:line="100" w:lineRule="atLeast"/>
      <w:jc w:val="center"/>
    </w:pPr>
    <w:rPr>
      <w:rFonts w:eastAsia="Times New Roman"/>
      <w:b/>
      <w:kern w:val="1"/>
      <w:szCs w:val="20"/>
      <w:lang w:val="ru-RU" w:eastAsia="hi-IN" w:bidi="hi-IN"/>
    </w:rPr>
  </w:style>
  <w:style w:type="character" w:customStyle="1" w:styleId="30">
    <w:name w:val="Заголовок 3 Знак"/>
    <w:basedOn w:val="a0"/>
    <w:link w:val="3"/>
    <w:rsid w:val="00FA6FBF"/>
    <w:rPr>
      <w:rFonts w:ascii="Times New Roman" w:eastAsia="Times New Roman" w:hAnsi="Times New Roman" w:cs="Times New Roman"/>
      <w:b/>
      <w:bCs/>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10803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1D81-B126-430B-82A6-38530793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3477</Words>
  <Characters>1983</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TTR Group</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2020-09-15T12:35:00Z</cp:lastPrinted>
  <dcterms:created xsi:type="dcterms:W3CDTF">2020-09-15T11:57:00Z</dcterms:created>
  <dcterms:modified xsi:type="dcterms:W3CDTF">2020-09-15T12:35:00Z</dcterms:modified>
</cp:coreProperties>
</file>